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2"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3"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4"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5"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6"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7"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8" w14:textId="77777777" w:rsidR="003144C9" w:rsidRDefault="003144C9">
      <w:pPr>
        <w:spacing w:before="200" w:after="240" w:line="360" w:lineRule="auto"/>
        <w:jc w:val="center"/>
        <w:rPr>
          <w:rFonts w:ascii="Times New Roman" w:eastAsia="Times New Roman" w:hAnsi="Times New Roman" w:cs="Times New Roman"/>
          <w:b/>
          <w:sz w:val="32"/>
          <w:szCs w:val="32"/>
        </w:rPr>
      </w:pPr>
    </w:p>
    <w:p w14:paraId="00000009" w14:textId="77777777" w:rsidR="003144C9" w:rsidRDefault="008A0AC2">
      <w:pPr>
        <w:spacing w:before="200" w:after="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TRUSTS</w:t>
      </w:r>
    </w:p>
    <w:p w14:paraId="0000000A" w14:textId="77777777" w:rsidR="003144C9" w:rsidRDefault="008A0AC2">
      <w:pPr>
        <w:spacing w:before="200" w:after="240" w:line="360" w:lineRule="auto"/>
        <w:jc w:val="both"/>
        <w:rPr>
          <w:rFonts w:ascii="Times New Roman" w:eastAsia="Times New Roman" w:hAnsi="Times New Roman" w:cs="Times New Roman"/>
          <w:b/>
          <w:sz w:val="24"/>
          <w:szCs w:val="24"/>
        </w:rPr>
      </w:pPr>
      <w:r>
        <w:br w:type="page"/>
      </w:r>
    </w:p>
    <w:sdt>
      <w:sdtPr>
        <w:rPr>
          <w:rFonts w:ascii="Arial" w:eastAsia="Arial" w:hAnsi="Arial" w:cs="Arial"/>
          <w:color w:val="auto"/>
          <w:sz w:val="22"/>
          <w:szCs w:val="22"/>
          <w:lang w:val="en" w:eastAsia="en-IN"/>
        </w:rPr>
        <w:id w:val="1868941312"/>
        <w:docPartObj>
          <w:docPartGallery w:val="Table of Contents"/>
          <w:docPartUnique/>
        </w:docPartObj>
      </w:sdtPr>
      <w:sdtEndPr>
        <w:rPr>
          <w:b/>
          <w:bCs/>
          <w:noProof/>
          <w:sz w:val="24"/>
          <w:szCs w:val="24"/>
        </w:rPr>
      </w:sdtEndPr>
      <w:sdtContent>
        <w:p w14:paraId="5BE72474" w14:textId="6D2ECE72" w:rsidR="001D180C" w:rsidRPr="001D180C" w:rsidRDefault="001D180C" w:rsidP="001D180C">
          <w:pPr>
            <w:pStyle w:val="TOCHeading"/>
            <w:spacing w:line="360" w:lineRule="auto"/>
            <w:jc w:val="center"/>
            <w:rPr>
              <w:rFonts w:ascii="Times New Roman" w:hAnsi="Times New Roman" w:cs="Times New Roman"/>
              <w:b/>
              <w:bCs/>
              <w:color w:val="auto"/>
              <w:sz w:val="28"/>
              <w:szCs w:val="28"/>
            </w:rPr>
          </w:pPr>
          <w:r w:rsidRPr="001D180C">
            <w:rPr>
              <w:rFonts w:ascii="Times New Roman" w:hAnsi="Times New Roman" w:cs="Times New Roman"/>
              <w:b/>
              <w:bCs/>
              <w:color w:val="auto"/>
              <w:sz w:val="28"/>
              <w:szCs w:val="28"/>
            </w:rPr>
            <w:t>Table of Contents</w:t>
          </w:r>
        </w:p>
        <w:p w14:paraId="10668E38" w14:textId="198A9703" w:rsidR="001D180C" w:rsidRPr="001D180C" w:rsidRDefault="001D180C" w:rsidP="001D180C">
          <w:pPr>
            <w:pStyle w:val="TOC1"/>
            <w:tabs>
              <w:tab w:val="right" w:leader="dot" w:pos="9350"/>
            </w:tabs>
            <w:spacing w:line="360" w:lineRule="auto"/>
            <w:jc w:val="both"/>
            <w:rPr>
              <w:rFonts w:ascii="Times New Roman" w:hAnsi="Times New Roman" w:cs="Times New Roman"/>
              <w:noProof/>
              <w:sz w:val="24"/>
              <w:szCs w:val="24"/>
            </w:rPr>
          </w:pPr>
          <w:r w:rsidRPr="001D180C">
            <w:rPr>
              <w:rFonts w:ascii="Times New Roman" w:hAnsi="Times New Roman" w:cs="Times New Roman"/>
              <w:sz w:val="24"/>
              <w:szCs w:val="24"/>
            </w:rPr>
            <w:fldChar w:fldCharType="begin"/>
          </w:r>
          <w:r w:rsidRPr="001D180C">
            <w:rPr>
              <w:rFonts w:ascii="Times New Roman" w:hAnsi="Times New Roman" w:cs="Times New Roman"/>
              <w:sz w:val="24"/>
              <w:szCs w:val="24"/>
            </w:rPr>
            <w:instrText xml:space="preserve"> TOC \o "1-3" \h \z \u </w:instrText>
          </w:r>
          <w:r w:rsidRPr="001D180C">
            <w:rPr>
              <w:rFonts w:ascii="Times New Roman" w:hAnsi="Times New Roman" w:cs="Times New Roman"/>
              <w:sz w:val="24"/>
              <w:szCs w:val="24"/>
            </w:rPr>
            <w:fldChar w:fldCharType="separate"/>
          </w:r>
          <w:hyperlink w:anchor="_Toc103004087" w:history="1">
            <w:r w:rsidRPr="001D180C">
              <w:rPr>
                <w:rStyle w:val="Hyperlink"/>
                <w:rFonts w:ascii="Times New Roman" w:hAnsi="Times New Roman" w:cs="Times New Roman"/>
                <w:noProof/>
                <w:color w:val="auto"/>
                <w:sz w:val="24"/>
                <w:szCs w:val="24"/>
              </w:rPr>
              <w:t>Question 1</w:t>
            </w:r>
            <w:r w:rsidRPr="001D180C">
              <w:rPr>
                <w:rFonts w:ascii="Times New Roman" w:hAnsi="Times New Roman" w:cs="Times New Roman"/>
                <w:noProof/>
                <w:webHidden/>
                <w:sz w:val="24"/>
                <w:szCs w:val="24"/>
              </w:rPr>
              <w:tab/>
            </w:r>
            <w:r w:rsidRPr="001D180C">
              <w:rPr>
                <w:rFonts w:ascii="Times New Roman" w:hAnsi="Times New Roman" w:cs="Times New Roman"/>
                <w:noProof/>
                <w:webHidden/>
                <w:sz w:val="24"/>
                <w:szCs w:val="24"/>
              </w:rPr>
              <w:fldChar w:fldCharType="begin"/>
            </w:r>
            <w:r w:rsidRPr="001D180C">
              <w:rPr>
                <w:rFonts w:ascii="Times New Roman" w:hAnsi="Times New Roman" w:cs="Times New Roman"/>
                <w:noProof/>
                <w:webHidden/>
                <w:sz w:val="24"/>
                <w:szCs w:val="24"/>
              </w:rPr>
              <w:instrText xml:space="preserve"> PAGEREF _Toc103004087 \h </w:instrText>
            </w:r>
            <w:r w:rsidRPr="001D180C">
              <w:rPr>
                <w:rFonts w:ascii="Times New Roman" w:hAnsi="Times New Roman" w:cs="Times New Roman"/>
                <w:noProof/>
                <w:webHidden/>
                <w:sz w:val="24"/>
                <w:szCs w:val="24"/>
              </w:rPr>
            </w:r>
            <w:r w:rsidRPr="001D180C">
              <w:rPr>
                <w:rFonts w:ascii="Times New Roman" w:hAnsi="Times New Roman" w:cs="Times New Roman"/>
                <w:noProof/>
                <w:webHidden/>
                <w:sz w:val="24"/>
                <w:szCs w:val="24"/>
              </w:rPr>
              <w:fldChar w:fldCharType="separate"/>
            </w:r>
            <w:r w:rsidRPr="001D180C">
              <w:rPr>
                <w:rFonts w:ascii="Times New Roman" w:hAnsi="Times New Roman" w:cs="Times New Roman"/>
                <w:noProof/>
                <w:webHidden/>
                <w:sz w:val="24"/>
                <w:szCs w:val="24"/>
              </w:rPr>
              <w:t>2</w:t>
            </w:r>
            <w:r w:rsidRPr="001D180C">
              <w:rPr>
                <w:rFonts w:ascii="Times New Roman" w:hAnsi="Times New Roman" w:cs="Times New Roman"/>
                <w:noProof/>
                <w:webHidden/>
                <w:sz w:val="24"/>
                <w:szCs w:val="24"/>
              </w:rPr>
              <w:fldChar w:fldCharType="end"/>
            </w:r>
          </w:hyperlink>
        </w:p>
        <w:p w14:paraId="4D6E6928" w14:textId="74D01126" w:rsidR="001D180C" w:rsidRPr="001D180C" w:rsidRDefault="001D180C" w:rsidP="001D180C">
          <w:pPr>
            <w:spacing w:line="360" w:lineRule="auto"/>
            <w:jc w:val="both"/>
            <w:rPr>
              <w:sz w:val="24"/>
              <w:szCs w:val="24"/>
            </w:rPr>
          </w:pPr>
          <w:r w:rsidRPr="001D180C">
            <w:rPr>
              <w:rFonts w:ascii="Times New Roman" w:hAnsi="Times New Roman" w:cs="Times New Roman"/>
              <w:b/>
              <w:bCs/>
              <w:noProof/>
              <w:sz w:val="24"/>
              <w:szCs w:val="24"/>
            </w:rPr>
            <w:fldChar w:fldCharType="end"/>
          </w:r>
        </w:p>
      </w:sdtContent>
    </w:sdt>
    <w:p w14:paraId="7B0DCFBB" w14:textId="77777777" w:rsidR="001D180C" w:rsidRDefault="001D180C" w:rsidP="001D180C">
      <w:pPr>
        <w:pStyle w:val="Heading1"/>
      </w:pPr>
    </w:p>
    <w:p w14:paraId="6C974B14" w14:textId="77777777" w:rsidR="001D180C" w:rsidRDefault="001D180C">
      <w:pPr>
        <w:rPr>
          <w:rFonts w:ascii="Times New Roman" w:hAnsi="Times New Roman"/>
          <w:b/>
          <w:sz w:val="28"/>
          <w:szCs w:val="40"/>
        </w:rPr>
      </w:pPr>
      <w:bookmarkStart w:id="0" w:name="_Toc103004087"/>
      <w:r>
        <w:br w:type="page"/>
      </w:r>
    </w:p>
    <w:p w14:paraId="0000000B" w14:textId="00A59D7C" w:rsidR="003144C9" w:rsidRDefault="008A0AC2" w:rsidP="001D180C">
      <w:pPr>
        <w:pStyle w:val="Heading1"/>
      </w:pPr>
      <w:r>
        <w:lastRenderedPageBreak/>
        <w:t>Question 1</w:t>
      </w:r>
      <w:bookmarkEnd w:id="0"/>
    </w:p>
    <w:p w14:paraId="0000000C" w14:textId="77777777" w:rsidR="003144C9" w:rsidRDefault="008A0AC2">
      <w:pPr>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a Trust</w:t>
      </w:r>
    </w:p>
    <w:p w14:paraId="0000000D" w14:textId="77777777"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Pr>
          <w:rFonts w:ascii="Times New Roman" w:eastAsia="Times New Roman" w:hAnsi="Times New Roman" w:cs="Times New Roman"/>
          <w:b/>
          <w:i/>
          <w:sz w:val="24"/>
          <w:szCs w:val="24"/>
        </w:rPr>
        <w:t>Section 2 (a) of the Trusts (Scotland) Act, 1921</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 xml:space="preserve">Trust </w:t>
      </w:r>
      <w:r>
        <w:rPr>
          <w:rFonts w:ascii="Times New Roman" w:eastAsia="Times New Roman" w:hAnsi="Times New Roman" w:cs="Times New Roman"/>
          <w:sz w:val="24"/>
          <w:szCs w:val="24"/>
        </w:rPr>
        <w:t>shall mean and include any trust constituted by any deed or other writing, or by private or local Act of Parliament, or by Royal Charter, or by resolution of any corporation or public or ecclesiastical body”.</w:t>
      </w:r>
    </w:p>
    <w:p w14:paraId="0000000E" w14:textId="77777777"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Pr>
          <w:rFonts w:ascii="Times New Roman" w:eastAsia="Times New Roman" w:hAnsi="Times New Roman" w:cs="Times New Roman"/>
          <w:b/>
          <w:i/>
          <w:sz w:val="24"/>
          <w:szCs w:val="24"/>
        </w:rPr>
        <w:t>Section 3 of the Trusts (Scotland) Act, 1921</w:t>
      </w:r>
      <w:r>
        <w:rPr>
          <w:rFonts w:ascii="Times New Roman" w:eastAsia="Times New Roman" w:hAnsi="Times New Roman" w:cs="Times New Roman"/>
          <w:sz w:val="24"/>
          <w:szCs w:val="24"/>
        </w:rPr>
        <w:t xml:space="preserve">, all trusts shall include the following powers and provisions unless the contrary be expressed, i.e., </w:t>
      </w:r>
    </w:p>
    <w:p w14:paraId="0000000F" w14:textId="77777777" w:rsidR="003144C9" w:rsidRDefault="008A0AC2">
      <w:pPr>
        <w:numPr>
          <w:ilvl w:val="0"/>
          <w:numId w:val="2"/>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of any trustee to resign the office of the trustee;</w:t>
      </w:r>
    </w:p>
    <w:p w14:paraId="00000010" w14:textId="77777777" w:rsidR="003144C9" w:rsidRDefault="008A0A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 of the trustee/trustees or of the quorum of the trustees to assume new trustees;</w:t>
      </w:r>
    </w:p>
    <w:p w14:paraId="00000011" w14:textId="77777777" w:rsidR="003144C9" w:rsidRDefault="008A0AC2">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provision stating that a majority of the trustees accepting and surviving shall be a quorum.</w:t>
      </w:r>
    </w:p>
    <w:p w14:paraId="00000012" w14:textId="77777777" w:rsidR="003144C9" w:rsidRDefault="008A0AC2">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provision stating that the liability of each trustee shall be to the extent of his own acts and intromissions (</w:t>
      </w:r>
      <w:proofErr w:type="spellStart"/>
      <w:r>
        <w:rPr>
          <w:rFonts w:ascii="Times New Roman" w:eastAsia="Times New Roman" w:hAnsi="Times New Roman" w:cs="Times New Roman"/>
          <w:color w:val="222222"/>
          <w:sz w:val="24"/>
          <w:szCs w:val="24"/>
          <w:highlight w:val="white"/>
        </w:rPr>
        <w:t>Follan</w:t>
      </w:r>
      <w:proofErr w:type="spellEnd"/>
      <w:r>
        <w:rPr>
          <w:rFonts w:ascii="Times New Roman" w:eastAsia="Times New Roman" w:hAnsi="Times New Roman" w:cs="Times New Roman"/>
          <w:color w:val="222222"/>
          <w:sz w:val="24"/>
          <w:szCs w:val="24"/>
          <w:highlight w:val="white"/>
        </w:rPr>
        <w:t>, 2020, p.323)</w:t>
      </w:r>
      <w:r>
        <w:rPr>
          <w:rFonts w:ascii="Times New Roman" w:eastAsia="Times New Roman" w:hAnsi="Times New Roman" w:cs="Times New Roman"/>
          <w:sz w:val="24"/>
          <w:szCs w:val="24"/>
        </w:rPr>
        <w:t xml:space="preserve">. No trustee shall be liable for the acts and intromissions of other trustees. Trustees shall not be held liable for omissions. </w:t>
      </w:r>
    </w:p>
    <w:p w14:paraId="00000013" w14:textId="77777777"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 trust, the following three requirements should be fulfilled:</w:t>
      </w:r>
    </w:p>
    <w:p w14:paraId="00000014" w14:textId="5511F7CF" w:rsidR="003144C9" w:rsidRDefault="008A0AC2">
      <w:pPr>
        <w:numPr>
          <w:ilvl w:val="0"/>
          <w:numId w:val="3"/>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must be 3 parties to create a trust, i.e., </w:t>
      </w:r>
      <w:r>
        <w:rPr>
          <w:rFonts w:ascii="Times New Roman" w:eastAsia="Times New Roman" w:hAnsi="Times New Roman" w:cs="Times New Roman"/>
          <w:b/>
          <w:i/>
          <w:sz w:val="24"/>
          <w:szCs w:val="24"/>
        </w:rPr>
        <w:t>Trustor, Trustee, and Beneficiary</w:t>
      </w:r>
      <w:r>
        <w:rPr>
          <w:rFonts w:ascii="Times New Roman" w:eastAsia="Times New Roman" w:hAnsi="Times New Roman" w:cs="Times New Roman"/>
          <w:sz w:val="24"/>
          <w:szCs w:val="24"/>
        </w:rPr>
        <w:t>.</w:t>
      </w:r>
    </w:p>
    <w:p w14:paraId="2D5C9BFD" w14:textId="3E79F54D" w:rsidR="005E6B23" w:rsidRDefault="005E6B23">
      <w:pPr>
        <w:numPr>
          <w:ilvl w:val="0"/>
          <w:numId w:val="3"/>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property must be legally transferred from the trustor to the trustee.</w:t>
      </w:r>
    </w:p>
    <w:p w14:paraId="0D407539" w14:textId="3BDAD45E" w:rsidR="005E6B23" w:rsidRPr="005E6B23" w:rsidRDefault="008A0AC2" w:rsidP="005E6B23">
      <w:pPr>
        <w:numPr>
          <w:ilvl w:val="0"/>
          <w:numId w:val="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must be a </w:t>
      </w:r>
      <w:r>
        <w:rPr>
          <w:rFonts w:ascii="Times New Roman" w:eastAsia="Times New Roman" w:hAnsi="Times New Roman" w:cs="Times New Roman"/>
          <w:b/>
          <w:i/>
          <w:sz w:val="24"/>
          <w:szCs w:val="24"/>
        </w:rPr>
        <w:t>clear purpose and certainty of intentions</w:t>
      </w:r>
      <w:r>
        <w:rPr>
          <w:rFonts w:ascii="Times New Roman" w:eastAsia="Times New Roman" w:hAnsi="Times New Roman" w:cs="Times New Roman"/>
          <w:sz w:val="24"/>
          <w:szCs w:val="24"/>
        </w:rPr>
        <w:t xml:space="preserve"> to create a trust.</w:t>
      </w:r>
    </w:p>
    <w:p w14:paraId="00000017" w14:textId="77777777" w:rsidR="003144C9" w:rsidRDefault="008A0AC2">
      <w:pPr>
        <w:spacing w:before="20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Trusts</w:t>
      </w:r>
    </w:p>
    <w:p w14:paraId="00000018" w14:textId="309DEEE0"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Inter</w:t>
      </w:r>
      <w:r w:rsidR="001D180C">
        <w:rPr>
          <w:rFonts w:ascii="Times New Roman" w:eastAsia="Times New Roman" w:hAnsi="Times New Roman" w:cs="Times New Roman"/>
          <w:b/>
          <w:i/>
          <w:sz w:val="24"/>
          <w:szCs w:val="24"/>
        </w:rPr>
        <w:t xml:space="preserve"> </w:t>
      </w:r>
      <w:proofErr w:type="spellStart"/>
      <w:r w:rsidR="001D180C">
        <w:rPr>
          <w:rFonts w:ascii="Times New Roman" w:eastAsia="Times New Roman" w:hAnsi="Times New Roman" w:cs="Times New Roman"/>
          <w:b/>
          <w:i/>
          <w:sz w:val="24"/>
          <w:szCs w:val="24"/>
        </w:rPr>
        <w:t>V</w:t>
      </w:r>
      <w:r>
        <w:rPr>
          <w:rFonts w:ascii="Times New Roman" w:eastAsia="Times New Roman" w:hAnsi="Times New Roman" w:cs="Times New Roman"/>
          <w:b/>
          <w:i/>
          <w:sz w:val="24"/>
          <w:szCs w:val="24"/>
        </w:rPr>
        <w:t>ivos</w:t>
      </w:r>
      <w:proofErr w:type="spellEnd"/>
      <w:r>
        <w:rPr>
          <w:rFonts w:ascii="Times New Roman" w:eastAsia="Times New Roman" w:hAnsi="Times New Roman" w:cs="Times New Roman"/>
          <w:b/>
          <w:i/>
          <w:sz w:val="24"/>
          <w:szCs w:val="24"/>
        </w:rPr>
        <w:t xml:space="preserve"> Trusts</w:t>
      </w:r>
    </w:p>
    <w:p w14:paraId="00000019" w14:textId="35E1D41A"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Inter </w:t>
      </w:r>
      <w:proofErr w:type="spellStart"/>
      <w:r>
        <w:rPr>
          <w:rFonts w:ascii="Times New Roman" w:eastAsia="Times New Roman" w:hAnsi="Times New Roman" w:cs="Times New Roman"/>
          <w:b/>
          <w:i/>
          <w:sz w:val="24"/>
          <w:szCs w:val="24"/>
        </w:rPr>
        <w:t>Vivos</w:t>
      </w:r>
      <w:proofErr w:type="spellEnd"/>
      <w:r>
        <w:rPr>
          <w:rFonts w:ascii="Times New Roman" w:eastAsia="Times New Roman" w:hAnsi="Times New Roman" w:cs="Times New Roman"/>
          <w:sz w:val="24"/>
          <w:szCs w:val="24"/>
        </w:rPr>
        <w:t xml:space="preserve"> is a Latin phrase that means “</w:t>
      </w:r>
      <w:r>
        <w:rPr>
          <w:rFonts w:ascii="Times New Roman" w:eastAsia="Times New Roman" w:hAnsi="Times New Roman" w:cs="Times New Roman"/>
          <w:b/>
          <w:i/>
          <w:sz w:val="24"/>
          <w:szCs w:val="24"/>
        </w:rPr>
        <w:t>Between Persons</w:t>
      </w:r>
      <w:r>
        <w:rPr>
          <w:rFonts w:ascii="Times New Roman" w:eastAsia="Times New Roman" w:hAnsi="Times New Roman" w:cs="Times New Roman"/>
          <w:sz w:val="24"/>
          <w:szCs w:val="24"/>
        </w:rPr>
        <w:t>”.  An inter</w:t>
      </w:r>
      <w:r w:rsidR="001D180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is also known as a </w:t>
      </w:r>
      <w:r>
        <w:rPr>
          <w:rFonts w:ascii="Times New Roman" w:eastAsia="Times New Roman" w:hAnsi="Times New Roman" w:cs="Times New Roman"/>
          <w:b/>
          <w:i/>
          <w:sz w:val="24"/>
          <w:szCs w:val="24"/>
        </w:rPr>
        <w:t xml:space="preserve">living trust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color w:val="222222"/>
          <w:sz w:val="24"/>
          <w:szCs w:val="24"/>
          <w:highlight w:val="white"/>
        </w:rPr>
        <w:t>Zaritsky</w:t>
      </w:r>
      <w:proofErr w:type="spellEnd"/>
      <w:r>
        <w:rPr>
          <w:rFonts w:ascii="Times New Roman" w:eastAsia="Times New Roman" w:hAnsi="Times New Roman" w:cs="Times New Roman"/>
          <w:color w:val="222222"/>
          <w:sz w:val="24"/>
          <w:szCs w:val="24"/>
          <w:highlight w:val="white"/>
        </w:rPr>
        <w:t>, and Danforth, 2018)</w:t>
      </w:r>
      <w:r>
        <w:rPr>
          <w:rFonts w:ascii="Times New Roman" w:eastAsia="Times New Roman" w:hAnsi="Times New Roman" w:cs="Times New Roman"/>
          <w:sz w:val="24"/>
          <w:szCs w:val="24"/>
        </w:rPr>
        <w:t>. It is a fiduciary relationship that is created during the lifetime of the trustor and is used in estate planning. The duration of this trust is determined at the time of its creation (</w:t>
      </w:r>
      <w:r>
        <w:rPr>
          <w:rFonts w:ascii="Times New Roman" w:eastAsia="Times New Roman" w:hAnsi="Times New Roman" w:cs="Times New Roman"/>
          <w:color w:val="222222"/>
          <w:sz w:val="24"/>
          <w:szCs w:val="24"/>
          <w:highlight w:val="white"/>
        </w:rPr>
        <w:t>Negron, and Alberto</w:t>
      </w:r>
      <w:r>
        <w:rPr>
          <w:rFonts w:ascii="Times New Roman" w:eastAsia="Times New Roman" w:hAnsi="Times New Roman" w:cs="Times New Roman"/>
          <w:sz w:val="24"/>
          <w:szCs w:val="24"/>
        </w:rPr>
        <w:t>, 2019, p.498). It comes into effect during the lifetime of the trustor. This trust is created to make it easier to distribute the assets of a trustor to the beneficiaries.</w:t>
      </w:r>
    </w:p>
    <w:p w14:paraId="0000001A"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For Example</w:t>
      </w:r>
    </w:p>
    <w:p w14:paraId="0000001B" w14:textId="77777777" w:rsidR="003144C9" w:rsidRDefault="008A0AC2">
      <w:pPr>
        <w:spacing w:before="20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Rae v Meek (1889) 16R (HL) 31</w:t>
      </w:r>
    </w:p>
    <w:p w14:paraId="0000001C" w14:textId="3062B19A"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and Mrs. Rae created a trust</w:t>
      </w:r>
      <w:r w:rsidR="005E6B23">
        <w:rPr>
          <w:rFonts w:ascii="Times New Roman" w:eastAsia="Times New Roman" w:hAnsi="Times New Roman" w:cs="Times New Roman"/>
          <w:sz w:val="24"/>
          <w:szCs w:val="24"/>
        </w:rPr>
        <w:t xml:space="preserve">. The beneficiaries of the trust were their children. The couple </w:t>
      </w:r>
      <w:r>
        <w:rPr>
          <w:rFonts w:ascii="Times New Roman" w:eastAsia="Times New Roman" w:hAnsi="Times New Roman" w:cs="Times New Roman"/>
          <w:sz w:val="24"/>
          <w:szCs w:val="24"/>
        </w:rPr>
        <w:t xml:space="preserve">also </w:t>
      </w:r>
      <w:r w:rsidR="005E6B23">
        <w:rPr>
          <w:rFonts w:ascii="Times New Roman" w:eastAsia="Times New Roman" w:hAnsi="Times New Roman" w:cs="Times New Roman"/>
          <w:sz w:val="24"/>
          <w:szCs w:val="24"/>
        </w:rPr>
        <w:t xml:space="preserve">selected the trustees </w:t>
      </w:r>
      <w:r>
        <w:rPr>
          <w:rFonts w:ascii="Times New Roman" w:eastAsia="Times New Roman" w:hAnsi="Times New Roman" w:cs="Times New Roman"/>
          <w:sz w:val="24"/>
          <w:szCs w:val="24"/>
        </w:rPr>
        <w:t xml:space="preserve">and </w:t>
      </w:r>
      <w:r w:rsidR="005E6B23">
        <w:rPr>
          <w:rFonts w:ascii="Times New Roman" w:eastAsia="Times New Roman" w:hAnsi="Times New Roman" w:cs="Times New Roman"/>
          <w:sz w:val="24"/>
          <w:szCs w:val="24"/>
        </w:rPr>
        <w:t xml:space="preserve">took </w:t>
      </w:r>
      <w:r>
        <w:rPr>
          <w:rFonts w:ascii="Times New Roman" w:eastAsia="Times New Roman" w:hAnsi="Times New Roman" w:cs="Times New Roman"/>
          <w:sz w:val="24"/>
          <w:szCs w:val="24"/>
        </w:rPr>
        <w:t xml:space="preserve">a speculative loan </w:t>
      </w:r>
      <w:r w:rsidR="005E6B23">
        <w:rPr>
          <w:rFonts w:ascii="Times New Roman" w:eastAsia="Times New Roman" w:hAnsi="Times New Roman" w:cs="Times New Roman"/>
          <w:sz w:val="24"/>
          <w:szCs w:val="24"/>
        </w:rPr>
        <w:t xml:space="preserve">against the security of under construction </w:t>
      </w:r>
      <w:r>
        <w:rPr>
          <w:rFonts w:ascii="Times New Roman" w:eastAsia="Times New Roman" w:hAnsi="Times New Roman" w:cs="Times New Roman"/>
          <w:sz w:val="24"/>
          <w:szCs w:val="24"/>
        </w:rPr>
        <w:t>buildings in the Gallowgate in Glasgow. The trustees did not take independent advice regarding the investment. The investment in those buildings was disastrous and</w:t>
      </w:r>
      <w:r w:rsidR="00284E7B">
        <w:rPr>
          <w:rFonts w:ascii="Times New Roman" w:eastAsia="Times New Roman" w:hAnsi="Times New Roman" w:cs="Times New Roman"/>
          <w:sz w:val="24"/>
          <w:szCs w:val="24"/>
        </w:rPr>
        <w:t xml:space="preserve"> did not yield positive results</w:t>
      </w:r>
      <w:r>
        <w:rPr>
          <w:rFonts w:ascii="Times New Roman" w:eastAsia="Times New Roman" w:hAnsi="Times New Roman" w:cs="Times New Roman"/>
          <w:sz w:val="24"/>
          <w:szCs w:val="24"/>
        </w:rPr>
        <w:t xml:space="preserve">. The children </w:t>
      </w:r>
      <w:r w:rsidR="00284E7B">
        <w:rPr>
          <w:rFonts w:ascii="Times New Roman" w:eastAsia="Times New Roman" w:hAnsi="Times New Roman" w:cs="Times New Roman"/>
          <w:sz w:val="24"/>
          <w:szCs w:val="24"/>
        </w:rPr>
        <w:t xml:space="preserve">filed a case against </w:t>
      </w:r>
      <w:r>
        <w:rPr>
          <w:rFonts w:ascii="Times New Roman" w:eastAsia="Times New Roman" w:hAnsi="Times New Roman" w:cs="Times New Roman"/>
          <w:sz w:val="24"/>
          <w:szCs w:val="24"/>
        </w:rPr>
        <w:t>the trustees. The House of Lords held that the truste</w:t>
      </w:r>
      <w:r w:rsidR="00284E7B">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should have taken independent advice. The standard of care of the trustees was not subjective but objective and hence they were held liable to pay compensation to the trust. </w:t>
      </w:r>
    </w:p>
    <w:p w14:paraId="0000001D"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Mortis Causa Trust</w:t>
      </w:r>
    </w:p>
    <w:p w14:paraId="0000001E" w14:textId="77777777"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Mortis Causa trust is also known as </w:t>
      </w:r>
      <w:proofErr w:type="spellStart"/>
      <w:r>
        <w:rPr>
          <w:rFonts w:ascii="Times New Roman" w:eastAsia="Times New Roman" w:hAnsi="Times New Roman" w:cs="Times New Roman"/>
          <w:sz w:val="24"/>
          <w:szCs w:val="24"/>
        </w:rPr>
        <w:t>Testmenatriy</w:t>
      </w:r>
      <w:proofErr w:type="spellEnd"/>
      <w:r>
        <w:rPr>
          <w:rFonts w:ascii="Times New Roman" w:eastAsia="Times New Roman" w:hAnsi="Times New Roman" w:cs="Times New Roman"/>
          <w:sz w:val="24"/>
          <w:szCs w:val="24"/>
        </w:rPr>
        <w:t xml:space="preserve"> trust and it is the opposite of an Inter </w:t>
      </w:r>
      <w:proofErr w:type="spellStart"/>
      <w:r>
        <w:rPr>
          <w:rFonts w:ascii="Times New Roman" w:eastAsia="Times New Roman" w:hAnsi="Times New Roman" w:cs="Times New Roman"/>
          <w:sz w:val="24"/>
          <w:szCs w:val="24"/>
        </w:rPr>
        <w:t>Vivos</w:t>
      </w:r>
      <w:proofErr w:type="spellEnd"/>
      <w:r>
        <w:rPr>
          <w:rFonts w:ascii="Times New Roman" w:eastAsia="Times New Roman" w:hAnsi="Times New Roman" w:cs="Times New Roman"/>
          <w:sz w:val="24"/>
          <w:szCs w:val="24"/>
        </w:rPr>
        <w:t xml:space="preserve"> Trust (</w:t>
      </w:r>
      <w:r>
        <w:rPr>
          <w:rFonts w:ascii="Times New Roman" w:eastAsia="Times New Roman" w:hAnsi="Times New Roman" w:cs="Times New Roman"/>
          <w:color w:val="222222"/>
          <w:sz w:val="24"/>
          <w:szCs w:val="24"/>
          <w:highlight w:val="white"/>
        </w:rPr>
        <w:t>Cohen-</w:t>
      </w:r>
      <w:proofErr w:type="spellStart"/>
      <w:r>
        <w:rPr>
          <w:rFonts w:ascii="Times New Roman" w:eastAsia="Times New Roman" w:hAnsi="Times New Roman" w:cs="Times New Roman"/>
          <w:color w:val="222222"/>
          <w:sz w:val="24"/>
          <w:szCs w:val="24"/>
          <w:highlight w:val="white"/>
        </w:rPr>
        <w:t>Murison</w:t>
      </w:r>
      <w:proofErr w:type="spellEnd"/>
      <w:r>
        <w:rPr>
          <w:rFonts w:ascii="Times New Roman" w:eastAsia="Times New Roman" w:hAnsi="Times New Roman" w:cs="Times New Roman"/>
          <w:color w:val="222222"/>
          <w:sz w:val="24"/>
          <w:szCs w:val="24"/>
          <w:highlight w:val="white"/>
        </w:rPr>
        <w:t>, 2020, p.47)</w:t>
      </w:r>
      <w:r>
        <w:rPr>
          <w:rFonts w:ascii="Times New Roman" w:eastAsia="Times New Roman" w:hAnsi="Times New Roman" w:cs="Times New Roman"/>
          <w:sz w:val="24"/>
          <w:szCs w:val="24"/>
        </w:rPr>
        <w:t xml:space="preserve">. This trust comes into existence after the death of the trustor. These trusts are created mainly for the protection of the rights and interests of the dependents and minors who are not able to take care of themselves. </w:t>
      </w:r>
    </w:p>
    <w:p w14:paraId="0000001F" w14:textId="77777777" w:rsidR="003144C9" w:rsidRDefault="008A0AC2">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For Example </w:t>
      </w:r>
    </w:p>
    <w:p w14:paraId="00000020" w14:textId="77777777" w:rsidR="003144C9" w:rsidRDefault="008A0AC2">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Macpherson v Macpherson’s Curator </w:t>
      </w:r>
      <w:proofErr w:type="spellStart"/>
      <w:r>
        <w:rPr>
          <w:rFonts w:ascii="Times New Roman" w:eastAsia="Times New Roman" w:hAnsi="Times New Roman" w:cs="Times New Roman"/>
          <w:i/>
          <w:sz w:val="24"/>
          <w:szCs w:val="24"/>
        </w:rPr>
        <w:t>Bonis</w:t>
      </w:r>
      <w:proofErr w:type="spellEnd"/>
      <w:r>
        <w:rPr>
          <w:rFonts w:ascii="Times New Roman" w:eastAsia="Times New Roman" w:hAnsi="Times New Roman" w:cs="Times New Roman"/>
          <w:i/>
          <w:sz w:val="24"/>
          <w:szCs w:val="24"/>
        </w:rPr>
        <w:t xml:space="preserve"> (1894) 21 R 386</w:t>
      </w:r>
    </w:p>
    <w:p w14:paraId="00000021" w14:textId="77777777" w:rsidR="003144C9" w:rsidRDefault="008A0A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 the deceased left their money in a will for Katherine and her unsound sister for their benefit. The court held it to be a sufficient declaration of trust.</w:t>
      </w:r>
    </w:p>
    <w:p w14:paraId="00000022"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Private Trusts</w:t>
      </w:r>
    </w:p>
    <w:p w14:paraId="00000023" w14:textId="32548E66"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Private trusts are created for the benefit of a specific group of individuals who are named or designated in the trust deed (</w:t>
      </w:r>
      <w:r>
        <w:rPr>
          <w:rFonts w:ascii="Times New Roman" w:eastAsia="Times New Roman" w:hAnsi="Times New Roman" w:cs="Times New Roman"/>
          <w:color w:val="222222"/>
          <w:sz w:val="24"/>
          <w:szCs w:val="24"/>
          <w:highlight w:val="white"/>
        </w:rPr>
        <w:t>Donnelly, 2020, p.39)</w:t>
      </w:r>
      <w:r>
        <w:rPr>
          <w:rFonts w:ascii="Times New Roman" w:eastAsia="Times New Roman" w:hAnsi="Times New Roman" w:cs="Times New Roman"/>
          <w:sz w:val="24"/>
          <w:szCs w:val="24"/>
        </w:rPr>
        <w:t xml:space="preserve">. In private trusts, the trustees manage and control the property of the beneficiaries until they become major or if they are not of sound mind. </w:t>
      </w:r>
      <w:r w:rsidR="00284E7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 private trust</w:t>
      </w:r>
      <w:r w:rsidR="00284E7B">
        <w:rPr>
          <w:rFonts w:ascii="Times New Roman" w:eastAsia="Times New Roman" w:hAnsi="Times New Roman" w:cs="Times New Roman"/>
          <w:sz w:val="24"/>
          <w:szCs w:val="24"/>
        </w:rPr>
        <w:t xml:space="preserve">, </w:t>
      </w:r>
      <w:proofErr w:type="spellStart"/>
      <w:r w:rsidR="00284E7B">
        <w:rPr>
          <w:rFonts w:ascii="Times New Roman" w:eastAsia="Times New Roman" w:hAnsi="Times New Roman" w:cs="Times New Roman"/>
          <w:sz w:val="24"/>
          <w:szCs w:val="24"/>
        </w:rPr>
        <w:t>the</w:t>
      </w:r>
      <w:proofErr w:type="spellEnd"/>
      <w:r w:rsidR="00284E7B">
        <w:rPr>
          <w:rFonts w:ascii="Times New Roman" w:eastAsia="Times New Roman" w:hAnsi="Times New Roman" w:cs="Times New Roman"/>
          <w:sz w:val="24"/>
          <w:szCs w:val="24"/>
        </w:rPr>
        <w:t xml:space="preserve"> trustees</w:t>
      </w:r>
      <w:r>
        <w:rPr>
          <w:rFonts w:ascii="Times New Roman" w:eastAsia="Times New Roman" w:hAnsi="Times New Roman" w:cs="Times New Roman"/>
          <w:sz w:val="24"/>
          <w:szCs w:val="24"/>
        </w:rPr>
        <w:t xml:space="preserve"> are under a </w:t>
      </w:r>
      <w:r w:rsidR="00284E7B">
        <w:rPr>
          <w:rFonts w:ascii="Times New Roman" w:eastAsia="Times New Roman" w:hAnsi="Times New Roman" w:cs="Times New Roman"/>
          <w:sz w:val="24"/>
          <w:szCs w:val="24"/>
        </w:rPr>
        <w:t xml:space="preserve">legal </w:t>
      </w:r>
      <w:r>
        <w:rPr>
          <w:rFonts w:ascii="Times New Roman" w:eastAsia="Times New Roman" w:hAnsi="Times New Roman" w:cs="Times New Roman"/>
          <w:sz w:val="24"/>
          <w:szCs w:val="24"/>
        </w:rPr>
        <w:t xml:space="preserve">duty to do the best for the beneficiaries. </w:t>
      </w:r>
    </w:p>
    <w:p w14:paraId="00000024"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Public Trusts</w:t>
      </w:r>
    </w:p>
    <w:p w14:paraId="00000025" w14:textId="3DD26BDE"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Public trusts are made to benefit either </w:t>
      </w:r>
      <w:r w:rsidR="00284E7B">
        <w:rPr>
          <w:rFonts w:ascii="Times New Roman" w:eastAsia="Times New Roman" w:hAnsi="Times New Roman" w:cs="Times New Roman"/>
          <w:sz w:val="24"/>
          <w:szCs w:val="24"/>
        </w:rPr>
        <w:t xml:space="preserve">the entire community </w:t>
      </w:r>
      <w:r>
        <w:rPr>
          <w:rFonts w:ascii="Times New Roman" w:eastAsia="Times New Roman" w:hAnsi="Times New Roman" w:cs="Times New Roman"/>
          <w:sz w:val="24"/>
          <w:szCs w:val="24"/>
        </w:rPr>
        <w:t>or a particular section of the</w:t>
      </w:r>
      <w:r w:rsidR="00284E7B">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 xml:space="preserve">. In a public trust, no private individual gains any profit from the </w:t>
      </w:r>
      <w:r w:rsidR="00284E7B">
        <w:rPr>
          <w:rFonts w:ascii="Times New Roman" w:eastAsia="Times New Roman" w:hAnsi="Times New Roman" w:cs="Times New Roman"/>
          <w:sz w:val="24"/>
          <w:szCs w:val="24"/>
        </w:rPr>
        <w:t xml:space="preserve">operations </w:t>
      </w:r>
      <w:r>
        <w:rPr>
          <w:rFonts w:ascii="Times New Roman" w:eastAsia="Times New Roman" w:hAnsi="Times New Roman" w:cs="Times New Roman"/>
          <w:sz w:val="24"/>
          <w:szCs w:val="24"/>
        </w:rPr>
        <w:t>of the trust and the assets of the trust. The assets of the trust are used for the benefit of the public.</w:t>
      </w:r>
    </w:p>
    <w:p w14:paraId="00000026"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For Example</w:t>
      </w:r>
    </w:p>
    <w:p w14:paraId="00000027" w14:textId="77777777" w:rsidR="003144C9" w:rsidRDefault="008A0AC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McCaig’s Trustees v Kirk Session of the United Free Church of Lismore </w:t>
      </w:r>
      <w:r>
        <w:rPr>
          <w:rFonts w:ascii="Times New Roman" w:eastAsia="Times New Roman" w:hAnsi="Times New Roman" w:cs="Times New Roman"/>
          <w:sz w:val="24"/>
          <w:szCs w:val="24"/>
        </w:rPr>
        <w:t>1915 SC 426</w:t>
      </w:r>
    </w:p>
    <w:p w14:paraId="00000028" w14:textId="678C3871"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w:t>
      </w:r>
      <w:r w:rsidR="00284E7B">
        <w:rPr>
          <w:rFonts w:ascii="Times New Roman" w:eastAsia="Times New Roman" w:hAnsi="Times New Roman" w:cs="Times New Roman"/>
          <w:sz w:val="24"/>
          <w:szCs w:val="24"/>
        </w:rPr>
        <w:t xml:space="preserve"> a woman named </w:t>
      </w:r>
      <w:r>
        <w:rPr>
          <w:rFonts w:ascii="Times New Roman" w:eastAsia="Times New Roman" w:hAnsi="Times New Roman" w:cs="Times New Roman"/>
          <w:sz w:val="24"/>
          <w:szCs w:val="24"/>
        </w:rPr>
        <w:t>Catherine McCaig left a will that stated that trustees could react bronze statues of her family members at McCaig Tower in Oban. the court held it to be void and against public policy and it was of no benefit to anyone.</w:t>
      </w:r>
    </w:p>
    <w:p w14:paraId="00000029"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Charitable Trust</w:t>
      </w:r>
    </w:p>
    <w:p w14:paraId="0000002A" w14:textId="38DB6D9B" w:rsidR="003144C9" w:rsidRDefault="008A0AC2">
      <w:pPr>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Scotland, so many public trusts are also charities. These trusts are registered </w:t>
      </w:r>
      <w:r w:rsidR="00284E7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 office of the Scottish Charity Regulator (OSCR) (</w:t>
      </w:r>
      <w:r>
        <w:rPr>
          <w:rFonts w:ascii="Times New Roman" w:eastAsia="Times New Roman" w:hAnsi="Times New Roman" w:cs="Times New Roman"/>
          <w:color w:val="222222"/>
          <w:sz w:val="24"/>
          <w:szCs w:val="24"/>
          <w:highlight w:val="white"/>
        </w:rPr>
        <w:t>McGregor-Lowndes, and Hannah, 2020)</w:t>
      </w:r>
      <w:r>
        <w:rPr>
          <w:rFonts w:ascii="Times New Roman" w:eastAsia="Times New Roman" w:hAnsi="Times New Roman" w:cs="Times New Roman"/>
          <w:sz w:val="24"/>
          <w:szCs w:val="24"/>
        </w:rPr>
        <w:t xml:space="preserve">. These trusts are subject to the provisions of the Charities and Trustee Investment (Scotland) Act 2005. </w:t>
      </w:r>
    </w:p>
    <w:p w14:paraId="0000002B" w14:textId="77777777" w:rsidR="003144C9" w:rsidRDefault="008A0AC2">
      <w:pPr>
        <w:spacing w:before="20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Reasons to </w:t>
      </w:r>
      <w:proofErr w:type="gramStart"/>
      <w:r>
        <w:rPr>
          <w:rFonts w:ascii="Times New Roman" w:eastAsia="Times New Roman" w:hAnsi="Times New Roman" w:cs="Times New Roman"/>
          <w:b/>
          <w:i/>
          <w:sz w:val="24"/>
          <w:szCs w:val="24"/>
        </w:rPr>
        <w:t>Create  Trust</w:t>
      </w:r>
      <w:proofErr w:type="gramEnd"/>
    </w:p>
    <w:p w14:paraId="0000002C" w14:textId="63D4E021"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 administer the </w:t>
      </w:r>
      <w:r w:rsidR="00284E7B">
        <w:rPr>
          <w:rFonts w:ascii="Times New Roman" w:eastAsia="Times New Roman" w:hAnsi="Times New Roman" w:cs="Times New Roman"/>
          <w:i/>
          <w:sz w:val="24"/>
          <w:szCs w:val="24"/>
        </w:rPr>
        <w:t xml:space="preserve">estate or other assets of a deceased </w:t>
      </w:r>
      <w:r w:rsidR="004E572C">
        <w:rPr>
          <w:rFonts w:ascii="Times New Roman" w:eastAsia="Times New Roman" w:hAnsi="Times New Roman" w:cs="Times New Roman"/>
          <w:i/>
          <w:sz w:val="24"/>
          <w:szCs w:val="24"/>
        </w:rPr>
        <w:t>person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trust is created to distribute the property of the deceased among the beneficiaries without any dispute.</w:t>
      </w:r>
    </w:p>
    <w:p w14:paraId="0000002D"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 protect the vulnerable- </w:t>
      </w:r>
      <w:r>
        <w:rPr>
          <w:rFonts w:ascii="Times New Roman" w:eastAsia="Times New Roman" w:hAnsi="Times New Roman" w:cs="Times New Roman"/>
          <w:sz w:val="24"/>
          <w:szCs w:val="24"/>
        </w:rPr>
        <w:t>To maintain those beneficiaries who are under age or are of unsound mind or have any disability.</w:t>
      </w:r>
    </w:p>
    <w:p w14:paraId="0000002E"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Liferents- </w:t>
      </w:r>
      <w:r>
        <w:rPr>
          <w:rFonts w:ascii="Times New Roman" w:eastAsia="Times New Roman" w:hAnsi="Times New Roman" w:cs="Times New Roman"/>
          <w:sz w:val="24"/>
          <w:szCs w:val="24"/>
        </w:rPr>
        <w:t>The property owned by a trust but being used by the beneficiaries without having rights to dispose it off.</w:t>
      </w:r>
    </w:p>
    <w:p w14:paraId="0000002F"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Bankruptcy- </w:t>
      </w:r>
      <w:r>
        <w:rPr>
          <w:rFonts w:ascii="Times New Roman" w:eastAsia="Times New Roman" w:hAnsi="Times New Roman" w:cs="Times New Roman"/>
          <w:sz w:val="24"/>
          <w:szCs w:val="24"/>
        </w:rPr>
        <w:t>To set aside the property and separate it from the personal assets of the owner to avoid creditors.</w:t>
      </w:r>
    </w:p>
    <w:p w14:paraId="00000030"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Finance-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Investment Trusts, Unit Trusts, and Pensions Funds.</w:t>
      </w:r>
      <w:r>
        <w:rPr>
          <w:rFonts w:ascii="Times New Roman" w:eastAsia="Times New Roman" w:hAnsi="Times New Roman" w:cs="Times New Roman"/>
          <w:i/>
          <w:sz w:val="24"/>
          <w:szCs w:val="24"/>
        </w:rPr>
        <w:t xml:space="preserve"> </w:t>
      </w:r>
    </w:p>
    <w:p w14:paraId="00000031"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Tax Planning- </w:t>
      </w:r>
      <w:r>
        <w:rPr>
          <w:rFonts w:ascii="Times New Roman" w:eastAsia="Times New Roman" w:hAnsi="Times New Roman" w:cs="Times New Roman"/>
          <w:sz w:val="24"/>
          <w:szCs w:val="24"/>
        </w:rPr>
        <w:t>To avoid paying higher taxes, creating trusts is the best option.</w:t>
      </w:r>
    </w:p>
    <w:p w14:paraId="00000032"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Charitable Purposes- </w:t>
      </w:r>
      <w:r>
        <w:rPr>
          <w:rFonts w:ascii="Times New Roman" w:eastAsia="Times New Roman" w:hAnsi="Times New Roman" w:cs="Times New Roman"/>
          <w:sz w:val="24"/>
          <w:szCs w:val="24"/>
        </w:rPr>
        <w:t>In Scotland many trusts operate for Charitable purposes to benefit beneficiaries at large.</w:t>
      </w:r>
    </w:p>
    <w:p w14:paraId="00000033" w14:textId="77777777" w:rsidR="003144C9" w:rsidRDefault="008A0AC2">
      <w:pPr>
        <w:numPr>
          <w:ilvl w:val="0"/>
          <w:numId w:val="1"/>
        </w:numPr>
        <w:spacing w:before="200" w:after="24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Trustor’s Insolvency-</w:t>
      </w:r>
      <w:r>
        <w:rPr>
          <w:rFonts w:ascii="Times New Roman" w:eastAsia="Times New Roman" w:hAnsi="Times New Roman" w:cs="Times New Roman"/>
          <w:sz w:val="24"/>
          <w:szCs w:val="24"/>
        </w:rPr>
        <w:t xml:space="preserve"> The trustor will have many benefits in case of any incapacity. </w:t>
      </w:r>
    </w:p>
    <w:p w14:paraId="00000034" w14:textId="77777777" w:rsidR="003144C9" w:rsidRDefault="008A0AC2">
      <w:pPr>
        <w:numPr>
          <w:ilvl w:val="0"/>
          <w:numId w:val="1"/>
        </w:numPr>
        <w:spacing w:before="20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Employee Share Scheme- </w:t>
      </w:r>
      <w:r>
        <w:rPr>
          <w:rFonts w:ascii="Times New Roman" w:eastAsia="Times New Roman" w:hAnsi="Times New Roman" w:cs="Times New Roman"/>
          <w:sz w:val="24"/>
          <w:szCs w:val="24"/>
        </w:rPr>
        <w:t>To obtain shares or rights in a company and to distribute them among the employees.</w:t>
      </w:r>
      <w:r>
        <w:br w:type="page"/>
      </w:r>
    </w:p>
    <w:p w14:paraId="00000035" w14:textId="77777777" w:rsidR="003144C9" w:rsidRDefault="008A0AC2">
      <w:pPr>
        <w:spacing w:before="20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List</w:t>
      </w:r>
    </w:p>
    <w:p w14:paraId="00000036"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Follan</w:t>
      </w:r>
      <w:proofErr w:type="spellEnd"/>
      <w:r>
        <w:rPr>
          <w:rFonts w:ascii="Times New Roman" w:eastAsia="Times New Roman" w:hAnsi="Times New Roman" w:cs="Times New Roman"/>
          <w:color w:val="222222"/>
          <w:sz w:val="24"/>
          <w:szCs w:val="24"/>
          <w:highlight w:val="white"/>
        </w:rPr>
        <w:t xml:space="preserve">, P.J., 2020. A Strange Genesis: Section 2 of the Trusts (Scotland) Act 1961. </w:t>
      </w:r>
      <w:r>
        <w:rPr>
          <w:rFonts w:ascii="Times New Roman" w:eastAsia="Times New Roman" w:hAnsi="Times New Roman" w:cs="Times New Roman"/>
          <w:i/>
          <w:color w:val="222222"/>
          <w:sz w:val="24"/>
          <w:szCs w:val="24"/>
          <w:highlight w:val="white"/>
        </w:rPr>
        <w:t>Edinburgh Law Review</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24</w:t>
      </w:r>
      <w:r>
        <w:rPr>
          <w:rFonts w:ascii="Times New Roman" w:eastAsia="Times New Roman" w:hAnsi="Times New Roman" w:cs="Times New Roman"/>
          <w:color w:val="222222"/>
          <w:sz w:val="24"/>
          <w:szCs w:val="24"/>
          <w:highlight w:val="white"/>
        </w:rPr>
        <w:t>(3), pp.323-341.</w:t>
      </w:r>
    </w:p>
    <w:p w14:paraId="00000037"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Zaritsky</w:t>
      </w:r>
      <w:proofErr w:type="spellEnd"/>
      <w:r>
        <w:rPr>
          <w:rFonts w:ascii="Times New Roman" w:eastAsia="Times New Roman" w:hAnsi="Times New Roman" w:cs="Times New Roman"/>
          <w:color w:val="222222"/>
          <w:sz w:val="24"/>
          <w:szCs w:val="24"/>
          <w:highlight w:val="white"/>
        </w:rPr>
        <w:t xml:space="preserve">, H.M. and Danforth, R.T., 2018. Revocable Inter </w:t>
      </w:r>
      <w:proofErr w:type="spellStart"/>
      <w:r>
        <w:rPr>
          <w:rFonts w:ascii="Times New Roman" w:eastAsia="Times New Roman" w:hAnsi="Times New Roman" w:cs="Times New Roman"/>
          <w:color w:val="222222"/>
          <w:sz w:val="24"/>
          <w:szCs w:val="24"/>
          <w:highlight w:val="white"/>
        </w:rPr>
        <w:t>Vivos</w:t>
      </w:r>
      <w:proofErr w:type="spellEnd"/>
      <w:r>
        <w:rPr>
          <w:rFonts w:ascii="Times New Roman" w:eastAsia="Times New Roman" w:hAnsi="Times New Roman" w:cs="Times New Roman"/>
          <w:color w:val="222222"/>
          <w:sz w:val="24"/>
          <w:szCs w:val="24"/>
          <w:highlight w:val="white"/>
        </w:rPr>
        <w:t xml:space="preserve"> Trusts, 860-2nd Tax Management Portfolio (2018).</w:t>
      </w:r>
    </w:p>
    <w:p w14:paraId="00000038"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Negron, A. and Alberto, J.E., 2019. The Four-Legged Bird That Barks and Has a Tail: The" New" Puerto Rico Inter </w:t>
      </w:r>
      <w:proofErr w:type="spellStart"/>
      <w:r>
        <w:rPr>
          <w:rFonts w:ascii="Times New Roman" w:eastAsia="Times New Roman" w:hAnsi="Times New Roman" w:cs="Times New Roman"/>
          <w:color w:val="222222"/>
          <w:sz w:val="24"/>
          <w:szCs w:val="24"/>
          <w:highlight w:val="white"/>
        </w:rPr>
        <w:t>Vivos</w:t>
      </w:r>
      <w:proofErr w:type="spellEnd"/>
      <w:r>
        <w:rPr>
          <w:rFonts w:ascii="Times New Roman" w:eastAsia="Times New Roman" w:hAnsi="Times New Roman" w:cs="Times New Roman"/>
          <w:color w:val="222222"/>
          <w:sz w:val="24"/>
          <w:szCs w:val="24"/>
          <w:highlight w:val="white"/>
        </w:rPr>
        <w:t xml:space="preserve"> Trust, Another Type of Business </w:t>
      </w:r>
      <w:proofErr w:type="gramStart"/>
      <w:r>
        <w:rPr>
          <w:rFonts w:ascii="Times New Roman" w:eastAsia="Times New Roman" w:hAnsi="Times New Roman" w:cs="Times New Roman"/>
          <w:color w:val="222222"/>
          <w:sz w:val="24"/>
          <w:szCs w:val="24"/>
          <w:highlight w:val="white"/>
        </w:rPr>
        <w:t>Organization?.</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Rev. </w:t>
      </w:r>
      <w:proofErr w:type="spellStart"/>
      <w:r>
        <w:rPr>
          <w:rFonts w:ascii="Times New Roman" w:eastAsia="Times New Roman" w:hAnsi="Times New Roman" w:cs="Times New Roman"/>
          <w:i/>
          <w:color w:val="222222"/>
          <w:sz w:val="24"/>
          <w:szCs w:val="24"/>
          <w:highlight w:val="white"/>
        </w:rPr>
        <w:t>Jur</w:t>
      </w:r>
      <w:proofErr w:type="spellEnd"/>
      <w:r>
        <w:rPr>
          <w:rFonts w:ascii="Times New Roman" w:eastAsia="Times New Roman" w:hAnsi="Times New Roman" w:cs="Times New Roman"/>
          <w:i/>
          <w:color w:val="222222"/>
          <w:sz w:val="24"/>
          <w:szCs w:val="24"/>
          <w:highlight w:val="white"/>
        </w:rPr>
        <w:t>. UPR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88</w:t>
      </w:r>
      <w:r>
        <w:rPr>
          <w:rFonts w:ascii="Times New Roman" w:eastAsia="Times New Roman" w:hAnsi="Times New Roman" w:cs="Times New Roman"/>
          <w:color w:val="222222"/>
          <w:sz w:val="24"/>
          <w:szCs w:val="24"/>
          <w:highlight w:val="white"/>
        </w:rPr>
        <w:t>, p.498.</w:t>
      </w:r>
    </w:p>
    <w:p w14:paraId="00000039"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Cohen-</w:t>
      </w:r>
      <w:proofErr w:type="spellStart"/>
      <w:r>
        <w:rPr>
          <w:rFonts w:ascii="Times New Roman" w:eastAsia="Times New Roman" w:hAnsi="Times New Roman" w:cs="Times New Roman"/>
          <w:color w:val="222222"/>
          <w:sz w:val="24"/>
          <w:szCs w:val="24"/>
          <w:highlight w:val="white"/>
        </w:rPr>
        <w:t>Murison</w:t>
      </w:r>
      <w:proofErr w:type="spellEnd"/>
      <w:r>
        <w:rPr>
          <w:rFonts w:ascii="Times New Roman" w:eastAsia="Times New Roman" w:hAnsi="Times New Roman" w:cs="Times New Roman"/>
          <w:color w:val="222222"/>
          <w:sz w:val="24"/>
          <w:szCs w:val="24"/>
          <w:highlight w:val="white"/>
        </w:rPr>
        <w:t xml:space="preserve">, B., 2020. The Purpose Trust: How Its Scope Can Be Rethought Using the Secondary Multiplier Effect. </w:t>
      </w:r>
      <w:r>
        <w:rPr>
          <w:rFonts w:ascii="Times New Roman" w:eastAsia="Times New Roman" w:hAnsi="Times New Roman" w:cs="Times New Roman"/>
          <w:i/>
          <w:color w:val="222222"/>
          <w:sz w:val="24"/>
          <w:szCs w:val="24"/>
          <w:highlight w:val="white"/>
        </w:rPr>
        <w:t>Edinburgh Student L. Rev.</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 p.47.</w:t>
      </w:r>
    </w:p>
    <w:p w14:paraId="0000003A"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Donnelly, H., 2020. To What Extent Does the Trustor's Contractarian Freedom to Define the Beneficiaries' Interests Come at the Expense of Creditors Who Contract with the Trust </w:t>
      </w:r>
      <w:proofErr w:type="gramStart"/>
      <w:r>
        <w:rPr>
          <w:rFonts w:ascii="Times New Roman" w:eastAsia="Times New Roman" w:hAnsi="Times New Roman" w:cs="Times New Roman"/>
          <w:color w:val="222222"/>
          <w:sz w:val="24"/>
          <w:szCs w:val="24"/>
          <w:highlight w:val="white"/>
        </w:rPr>
        <w:t>Parties?.</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Edinburgh Student L. Rev.</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 p.39.</w:t>
      </w:r>
    </w:p>
    <w:p w14:paraId="0000003B" w14:textId="77777777" w:rsidR="003144C9" w:rsidRDefault="008A0AC2">
      <w:pPr>
        <w:spacing w:before="200" w:after="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McGregor-Lowndes, M. and Hannah, F., 2020. ACPNS Legal Case Notes Series: 2020-89 Inquiry Report made under Section 33 of the Charities and Trustee Investment (Scotland) Act 2005, University of Aberdeen.</w:t>
      </w:r>
    </w:p>
    <w:p w14:paraId="0000003C" w14:textId="77777777" w:rsidR="003144C9" w:rsidRDefault="003144C9">
      <w:pPr>
        <w:spacing w:before="200" w:after="240" w:line="360" w:lineRule="auto"/>
        <w:jc w:val="both"/>
        <w:rPr>
          <w:rFonts w:ascii="Times New Roman" w:eastAsia="Times New Roman" w:hAnsi="Times New Roman" w:cs="Times New Roman"/>
          <w:b/>
          <w:i/>
          <w:sz w:val="24"/>
          <w:szCs w:val="24"/>
        </w:rPr>
      </w:pPr>
    </w:p>
    <w:p w14:paraId="0000003D" w14:textId="77777777" w:rsidR="003144C9" w:rsidRDefault="008A0AC2">
      <w:pPr>
        <w:spacing w:before="200" w:after="2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3E" w14:textId="77777777" w:rsidR="003144C9" w:rsidRDefault="008A0AC2">
      <w:pPr>
        <w:spacing w:before="20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3144C9" w:rsidRDefault="003144C9">
      <w:pPr>
        <w:spacing w:before="200" w:line="360" w:lineRule="auto"/>
        <w:rPr>
          <w:rFonts w:ascii="Times New Roman" w:eastAsia="Times New Roman" w:hAnsi="Times New Roman" w:cs="Times New Roman"/>
          <w:sz w:val="24"/>
          <w:szCs w:val="24"/>
        </w:rPr>
      </w:pPr>
    </w:p>
    <w:sectPr w:rsidR="003144C9" w:rsidSect="001D180C">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2F54" w14:textId="77777777" w:rsidR="00355B78" w:rsidRDefault="00355B78" w:rsidP="001D180C">
      <w:pPr>
        <w:spacing w:line="240" w:lineRule="auto"/>
      </w:pPr>
      <w:r>
        <w:separator/>
      </w:r>
    </w:p>
  </w:endnote>
  <w:endnote w:type="continuationSeparator" w:id="0">
    <w:p w14:paraId="3D05B2B3" w14:textId="77777777" w:rsidR="00355B78" w:rsidRDefault="00355B78" w:rsidP="001D1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77354"/>
      <w:docPartObj>
        <w:docPartGallery w:val="Page Numbers (Bottom of Page)"/>
        <w:docPartUnique/>
      </w:docPartObj>
    </w:sdtPr>
    <w:sdtEndPr>
      <w:rPr>
        <w:noProof/>
      </w:rPr>
    </w:sdtEndPr>
    <w:sdtContent>
      <w:p w14:paraId="6617A760" w14:textId="4BDDADF7" w:rsidR="001D180C" w:rsidRDefault="001D1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4F784" w14:textId="77777777" w:rsidR="001D180C" w:rsidRDefault="001D1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FE16" w14:textId="77777777" w:rsidR="00355B78" w:rsidRDefault="00355B78" w:rsidP="001D180C">
      <w:pPr>
        <w:spacing w:line="240" w:lineRule="auto"/>
      </w:pPr>
      <w:r>
        <w:separator/>
      </w:r>
    </w:p>
  </w:footnote>
  <w:footnote w:type="continuationSeparator" w:id="0">
    <w:p w14:paraId="34921019" w14:textId="77777777" w:rsidR="00355B78" w:rsidRDefault="00355B78" w:rsidP="001D18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FE"/>
    <w:multiLevelType w:val="multilevel"/>
    <w:tmpl w:val="C8C2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B6B89"/>
    <w:multiLevelType w:val="multilevel"/>
    <w:tmpl w:val="535EB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11F08"/>
    <w:multiLevelType w:val="multilevel"/>
    <w:tmpl w:val="7B1426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125686091">
    <w:abstractNumId w:val="0"/>
  </w:num>
  <w:num w:numId="2" w16cid:durableId="690105076">
    <w:abstractNumId w:val="2"/>
  </w:num>
  <w:num w:numId="3" w16cid:durableId="79012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C9"/>
    <w:rsid w:val="001D180C"/>
    <w:rsid w:val="00284E7B"/>
    <w:rsid w:val="003144C9"/>
    <w:rsid w:val="00355B78"/>
    <w:rsid w:val="004E572C"/>
    <w:rsid w:val="005E6B23"/>
    <w:rsid w:val="008A0A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FFA4"/>
  <w15:docId w15:val="{A41B8DA7-C546-47C1-A032-293C08E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D180C"/>
    <w:pPr>
      <w:keepNext/>
      <w:keepLines/>
      <w:spacing w:before="400" w:after="120"/>
      <w:jc w:val="both"/>
      <w:outlineLvl w:val="0"/>
    </w:pPr>
    <w:rPr>
      <w:rFonts w:ascii="Times New Roman" w:hAnsi="Times New Roman"/>
      <w:b/>
      <w:sz w:val="28"/>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D180C"/>
    <w:pPr>
      <w:tabs>
        <w:tab w:val="center" w:pos="4513"/>
        <w:tab w:val="right" w:pos="9026"/>
      </w:tabs>
      <w:spacing w:line="240" w:lineRule="auto"/>
    </w:pPr>
  </w:style>
  <w:style w:type="character" w:customStyle="1" w:styleId="HeaderChar">
    <w:name w:val="Header Char"/>
    <w:basedOn w:val="DefaultParagraphFont"/>
    <w:link w:val="Header"/>
    <w:uiPriority w:val="99"/>
    <w:rsid w:val="001D180C"/>
  </w:style>
  <w:style w:type="paragraph" w:styleId="Footer">
    <w:name w:val="footer"/>
    <w:basedOn w:val="Normal"/>
    <w:link w:val="FooterChar"/>
    <w:uiPriority w:val="99"/>
    <w:unhideWhenUsed/>
    <w:rsid w:val="001D180C"/>
    <w:pPr>
      <w:tabs>
        <w:tab w:val="center" w:pos="4513"/>
        <w:tab w:val="right" w:pos="9026"/>
      </w:tabs>
      <w:spacing w:line="240" w:lineRule="auto"/>
    </w:pPr>
  </w:style>
  <w:style w:type="character" w:customStyle="1" w:styleId="FooterChar">
    <w:name w:val="Footer Char"/>
    <w:basedOn w:val="DefaultParagraphFont"/>
    <w:link w:val="Footer"/>
    <w:uiPriority w:val="99"/>
    <w:rsid w:val="001D180C"/>
  </w:style>
  <w:style w:type="paragraph" w:styleId="TOCHeading">
    <w:name w:val="TOC Heading"/>
    <w:basedOn w:val="Heading1"/>
    <w:next w:val="Normal"/>
    <w:uiPriority w:val="39"/>
    <w:unhideWhenUsed/>
    <w:qFormat/>
    <w:rsid w:val="001D180C"/>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D180C"/>
    <w:pPr>
      <w:spacing w:after="100"/>
    </w:pPr>
  </w:style>
  <w:style w:type="character" w:styleId="Hyperlink">
    <w:name w:val="Hyperlink"/>
    <w:basedOn w:val="DefaultParagraphFont"/>
    <w:uiPriority w:val="99"/>
    <w:unhideWhenUsed/>
    <w:rsid w:val="001D1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B296-BA9E-45A3-81A9-A184C080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SAKSHI JHALANI</cp:lastModifiedBy>
  <cp:revision>3</cp:revision>
  <dcterms:created xsi:type="dcterms:W3CDTF">2022-05-09T10:23:00Z</dcterms:created>
  <dcterms:modified xsi:type="dcterms:W3CDTF">2022-05-09T19:13:00Z</dcterms:modified>
</cp:coreProperties>
</file>