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Project Guidelines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The project is a group component. Groups will perform strategic analysis for a firm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Expectations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1. Critical analyses of the internal and external environments in which organisations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operate and assess their worth for strategic planning.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2. Apply understanding of the theories, concepts and tools that support strategic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management in organizations and analyze the same to develop strategies for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implementation.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3. Conduct additional comparative analysis of the vision and mission and post-COVID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strategies of both the companies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4. Participate constructively in team situations to complete shared task and meet agreed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deadlines.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Evaluation Details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Weightage:20%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Group Details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There will be a total of 10 groups. Each group will constitute approximately equal number of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students, which will be determined in the first week. Students are required to work only in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allotted groups and no change will be allowed under any circumstances.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Word Limit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4000 words, however no more than 5% variation will be tolerated. Anything other than this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would attract penalty. Also it is compulsory to mention the word count at the end of the text.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The word count should not include Abstract, reference list or annexure.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Acceptable level of similarity is 10%.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Content Prospects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The report should be in the following format: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· Roll number, name of group members and group number (those members who do not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contribute may be excluded from the list)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· Name of the business entity along with logos, trademarks, or whatever is needed to create a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basic understanding; however no write up is expected here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· Acknowledgement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· Table of content, list out separately various chapters or parts, tables and graphs and annexure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· List of acronyms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· Abstract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· Report Text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· Annexure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· Reference List or Bibliography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What is an Abstract?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Abstract is a gist of the report. It tells the reader in nut-shell about the focus of the report. The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Abstract should not exceed 200 words. It is compulsory to mention the word count at the end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of the abstract.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What to Cover in the Report Text?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The text should include the following: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· Introduction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· Industry analysis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· Internal analysis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· Competitive Strategy Analysis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· Suggestions/Observations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The Report has to be prepared on A4 Size paper format with font size 12 and font style-Times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New Roman. Font size for ‘headings’ should be 14. The Project text should have single spacing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only. The report shall be submitted online.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What to Cover in the Annexure?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Annexure needs to cover the additional details that the reader needs to understand the text. All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annexure need to be cited appropriately in the report text. Not citing in the report text of the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annexure will attract penalty. Do not data dump and a reader should not be expected to derive the meaning of the additional information. The purpose of annexure should be either to deliver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additional information or provide further clarity of the matter cited in the report text.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What to Cover in the Reference List or Bibliography?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The referencing or bibliography is to be done in APA style guide. The report text should have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appropriate in-text citations and the same should be mentioned in the bibliography. Any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mention in the bibliography not having an in-text citation will attract penalty. Similarly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description in the text without appropriate citations will also attract penalty. Ensure that all the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borrowed ideas and matter is cited. Use of Wikipedia is prohibited. Excessive use of any one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form of reference will also attract penalty. For example report based simply on web material, or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based simply on one data source or report, will be penalized. It is expected that you use library books be used in the report, so prepare a separate list of books, magazines, journal articles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