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523D" w14:textId="77777777" w:rsidR="00276928" w:rsidRDefault="00276928" w:rsidP="00276928">
      <w:pPr>
        <w:ind w:left="720" w:hanging="360"/>
      </w:pPr>
    </w:p>
    <w:p w14:paraId="0F6F1E76" w14:textId="5923069E" w:rsidR="00276928" w:rsidRDefault="00276928" w:rsidP="00276928">
      <w:pPr>
        <w:rPr>
          <w:b/>
          <w:bCs/>
        </w:rPr>
      </w:pPr>
      <w:r w:rsidRPr="00276928">
        <w:rPr>
          <w:b/>
          <w:bCs/>
        </w:rPr>
        <w:t>Critically appraise the work currently being done by organisations to address the wicked problem you focused on in Part 1.</w:t>
      </w:r>
    </w:p>
    <w:p w14:paraId="66BE6E7D" w14:textId="77777777" w:rsidR="00276928" w:rsidRDefault="00276928" w:rsidP="00276928">
      <w:pPr>
        <w:rPr>
          <w:b/>
          <w:bCs/>
        </w:rPr>
      </w:pPr>
    </w:p>
    <w:p w14:paraId="365E0ACE" w14:textId="44BD9853" w:rsidR="00276928" w:rsidRPr="00276928" w:rsidRDefault="00276928" w:rsidP="00276928">
      <w:pPr>
        <w:jc w:val="center"/>
        <w:rPr>
          <w:b/>
          <w:bCs/>
        </w:rPr>
      </w:pPr>
      <w:r>
        <w:rPr>
          <w:b/>
          <w:bCs/>
        </w:rPr>
        <w:t>Personal plan</w:t>
      </w:r>
      <w:r w:rsidR="00441A6A">
        <w:rPr>
          <w:b/>
          <w:bCs/>
          <w:lang w:val="en-US"/>
        </w:rPr>
        <w:t xml:space="preserve"> </w:t>
      </w:r>
      <w:r w:rsidR="00441A6A" w:rsidRPr="00441A6A">
        <w:rPr>
          <w:b/>
          <w:bCs/>
          <w:lang w:val="en-US"/>
        </w:rPr>
        <w:t>video par 2</w:t>
      </w:r>
      <w:r>
        <w:rPr>
          <w:b/>
          <w:bCs/>
        </w:rPr>
        <w:t>: Food security</w:t>
      </w:r>
    </w:p>
    <w:p w14:paraId="00DD8C1A" w14:textId="77777777" w:rsidR="00276928" w:rsidRDefault="00276928" w:rsidP="00276928">
      <w:pPr>
        <w:ind w:left="360"/>
        <w:rPr>
          <w:b/>
          <w:bCs/>
        </w:rPr>
      </w:pPr>
    </w:p>
    <w:p w14:paraId="2EDFC205" w14:textId="77777777" w:rsidR="00276928" w:rsidRPr="00276928" w:rsidRDefault="00276928" w:rsidP="00276928">
      <w:pPr>
        <w:ind w:left="360"/>
        <w:rPr>
          <w:b/>
          <w:bCs/>
        </w:rPr>
      </w:pPr>
    </w:p>
    <w:p w14:paraId="0A7CE148" w14:textId="34F046EC" w:rsidR="00276928" w:rsidRDefault="00276928" w:rsidP="00276928">
      <w:pPr>
        <w:pStyle w:val="Paragrafoelenco"/>
        <w:numPr>
          <w:ilvl w:val="0"/>
          <w:numId w:val="1"/>
        </w:numPr>
        <w:rPr>
          <w:b/>
          <w:bCs/>
        </w:rPr>
      </w:pPr>
      <w:r w:rsidRPr="006C6C60">
        <w:rPr>
          <w:b/>
          <w:bCs/>
        </w:rPr>
        <w:t>ORGANIZATIONS and THEIR APPROACH:</w:t>
      </w:r>
    </w:p>
    <w:p w14:paraId="4EFE9245" w14:textId="77777777" w:rsidR="00276928" w:rsidRDefault="00276928" w:rsidP="00276928">
      <w:r w:rsidRPr="00276928">
        <w:rPr>
          <w:b/>
          <w:bCs/>
        </w:rPr>
        <w:t>Government agencies</w:t>
      </w:r>
      <w:r>
        <w:rPr>
          <w:b/>
          <w:bCs/>
        </w:rPr>
        <w:t xml:space="preserve">: </w:t>
      </w:r>
      <w:r>
        <w:t xml:space="preserve">the Food and Agriculture Organization </w:t>
      </w:r>
      <w:r w:rsidRPr="00FF10DC">
        <w:rPr>
          <w:b/>
          <w:bCs/>
        </w:rPr>
        <w:t>(FAO)</w:t>
      </w:r>
      <w:r>
        <w:t xml:space="preserve"> and the World Health Organization </w:t>
      </w:r>
      <w:r w:rsidRPr="00FF10DC">
        <w:rPr>
          <w:b/>
          <w:bCs/>
        </w:rPr>
        <w:t>(WHO)</w:t>
      </w:r>
      <w:r>
        <w:t xml:space="preserve"> are two Specialized agencies of the United Nations with separate mandates.</w:t>
      </w:r>
    </w:p>
    <w:p w14:paraId="0264EFAE" w14:textId="173E4EC4" w:rsidR="00276928" w:rsidRPr="00276928" w:rsidRDefault="00276928" w:rsidP="00276928">
      <w:pPr>
        <w:ind w:left="360"/>
        <w:rPr>
          <w:b/>
          <w:bCs/>
        </w:rPr>
      </w:pPr>
    </w:p>
    <w:p w14:paraId="067D9E7B" w14:textId="4F86B843" w:rsidR="00B945DE" w:rsidRDefault="00276928" w:rsidP="00276928">
      <w:r w:rsidRPr="00FF10DC">
        <w:rPr>
          <w:b/>
          <w:bCs/>
        </w:rPr>
        <w:t>Non-governmental organization:</w:t>
      </w:r>
      <w:r>
        <w:rPr>
          <w:b/>
          <w:bCs/>
        </w:rPr>
        <w:t xml:space="preserve"> </w:t>
      </w:r>
      <w:r>
        <w:t>World Food Programme (WFP)</w:t>
      </w:r>
    </w:p>
    <w:p w14:paraId="5EB123F0" w14:textId="77777777" w:rsidR="005C2C71" w:rsidRDefault="005C2C71" w:rsidP="00276928"/>
    <w:p w14:paraId="2DE19B0D" w14:textId="4680EEF0" w:rsidR="00276928" w:rsidRPr="00276928" w:rsidRDefault="00276928" w:rsidP="00276928">
      <w:pPr>
        <w:rPr>
          <w:b/>
          <w:bCs/>
        </w:rPr>
      </w:pPr>
      <w:r w:rsidRPr="00FF10DC">
        <w:rPr>
          <w:b/>
          <w:bCs/>
        </w:rPr>
        <w:t>Private sector companies</w:t>
      </w:r>
    </w:p>
    <w:p w14:paraId="0BC1499B" w14:textId="77777777" w:rsidR="00276928" w:rsidRPr="006C6C60" w:rsidRDefault="00276928" w:rsidP="00276928">
      <w:pPr>
        <w:rPr>
          <w:b/>
          <w:bCs/>
        </w:rPr>
      </w:pPr>
    </w:p>
    <w:p w14:paraId="11316B38" w14:textId="77777777" w:rsidR="00276928" w:rsidRPr="006C6C60" w:rsidRDefault="00276928" w:rsidP="00276928">
      <w:pPr>
        <w:pStyle w:val="Paragrafoelenco"/>
        <w:numPr>
          <w:ilvl w:val="0"/>
          <w:numId w:val="1"/>
        </w:numPr>
        <w:rPr>
          <w:b/>
          <w:bCs/>
        </w:rPr>
      </w:pPr>
      <w:r w:rsidRPr="006C6C60">
        <w:rPr>
          <w:b/>
          <w:bCs/>
        </w:rPr>
        <w:t>EVALUATING STRATEGIES and IMPACT:</w:t>
      </w:r>
      <w:r>
        <w:rPr>
          <w:b/>
          <w:bCs/>
        </w:rPr>
        <w:t xml:space="preserve"> </w:t>
      </w:r>
      <w:r>
        <w:t>Develop criteria to evaluate the effectiveness of these organizations in terms of:</w:t>
      </w:r>
    </w:p>
    <w:p w14:paraId="2FEB07C1" w14:textId="77777777" w:rsidR="00276928" w:rsidRDefault="00276928" w:rsidP="00276928">
      <w:pPr>
        <w:pStyle w:val="Paragrafoelenco"/>
        <w:numPr>
          <w:ilvl w:val="0"/>
          <w:numId w:val="3"/>
        </w:numPr>
        <w:rPr>
          <w:b/>
          <w:bCs/>
        </w:rPr>
      </w:pPr>
      <w:r>
        <w:rPr>
          <w:b/>
          <w:bCs/>
        </w:rPr>
        <w:t>Scale of impact</w:t>
      </w:r>
    </w:p>
    <w:p w14:paraId="66954ABB" w14:textId="77777777" w:rsidR="00276928" w:rsidRDefault="00276928" w:rsidP="00276928">
      <w:pPr>
        <w:pStyle w:val="Paragrafoelenco"/>
        <w:numPr>
          <w:ilvl w:val="0"/>
          <w:numId w:val="3"/>
        </w:numPr>
        <w:rPr>
          <w:b/>
          <w:bCs/>
        </w:rPr>
      </w:pPr>
      <w:r>
        <w:rPr>
          <w:b/>
          <w:bCs/>
        </w:rPr>
        <w:t xml:space="preserve">Sustainability of solutions </w:t>
      </w:r>
    </w:p>
    <w:p w14:paraId="0860DD0D" w14:textId="77777777" w:rsidR="00276928" w:rsidRDefault="00276928" w:rsidP="00276928">
      <w:pPr>
        <w:pStyle w:val="Paragrafoelenco"/>
        <w:numPr>
          <w:ilvl w:val="0"/>
          <w:numId w:val="3"/>
        </w:numPr>
        <w:rPr>
          <w:b/>
          <w:bCs/>
        </w:rPr>
      </w:pPr>
      <w:r>
        <w:rPr>
          <w:b/>
          <w:bCs/>
        </w:rPr>
        <w:t>Efficiency of resource use</w:t>
      </w:r>
    </w:p>
    <w:p w14:paraId="070CEB88" w14:textId="77777777" w:rsidR="00276928" w:rsidRDefault="00276928" w:rsidP="00276928">
      <w:pPr>
        <w:pStyle w:val="Paragrafoelenco"/>
        <w:numPr>
          <w:ilvl w:val="0"/>
          <w:numId w:val="3"/>
        </w:numPr>
        <w:rPr>
          <w:b/>
          <w:bCs/>
        </w:rPr>
      </w:pPr>
      <w:r>
        <w:rPr>
          <w:b/>
          <w:bCs/>
        </w:rPr>
        <w:t xml:space="preserve">Inclusiveness of their approach </w:t>
      </w:r>
    </w:p>
    <w:p w14:paraId="7031B34B" w14:textId="77777777" w:rsidR="00276928" w:rsidRPr="00276928" w:rsidRDefault="00276928" w:rsidP="00276928">
      <w:pPr>
        <w:rPr>
          <w:b/>
          <w:bCs/>
        </w:rPr>
      </w:pPr>
    </w:p>
    <w:p w14:paraId="3D166723" w14:textId="79D081D0" w:rsidR="00276928" w:rsidRPr="00276928" w:rsidRDefault="00276928" w:rsidP="00276928">
      <w:pPr>
        <w:pStyle w:val="Paragrafoelenco"/>
        <w:numPr>
          <w:ilvl w:val="0"/>
          <w:numId w:val="1"/>
        </w:numPr>
        <w:rPr>
          <w:b/>
          <w:bCs/>
        </w:rPr>
      </w:pPr>
      <w:r w:rsidRPr="00276928">
        <w:rPr>
          <w:b/>
          <w:bCs/>
        </w:rPr>
        <w:t xml:space="preserve">IDENTIFY COMMON CHALLENGES OR GAPS IN CURRENT EFFORT: </w:t>
      </w:r>
      <w:r>
        <w:t>such as lack of coordination between organizations or insufficient funding.</w:t>
      </w:r>
    </w:p>
    <w:p w14:paraId="15DBF257" w14:textId="77777777" w:rsidR="00276928" w:rsidRPr="00276928" w:rsidRDefault="00276928" w:rsidP="00276928">
      <w:pPr>
        <w:rPr>
          <w:b/>
          <w:bCs/>
        </w:rPr>
      </w:pPr>
    </w:p>
    <w:p w14:paraId="5E907A65" w14:textId="77777777" w:rsidR="00276928" w:rsidRPr="006C6C60" w:rsidRDefault="00276928" w:rsidP="00276928">
      <w:pPr>
        <w:pStyle w:val="Paragrafoelenco"/>
        <w:numPr>
          <w:ilvl w:val="0"/>
          <w:numId w:val="1"/>
        </w:numPr>
        <w:rPr>
          <w:b/>
          <w:bCs/>
          <w:lang w:val="en-US"/>
        </w:rPr>
      </w:pPr>
      <w:r>
        <w:rPr>
          <w:b/>
          <w:bCs/>
        </w:rPr>
        <w:t>ANALYZING EXTERNAL FACTORS:</w:t>
      </w:r>
    </w:p>
    <w:p w14:paraId="67B46DC6" w14:textId="77777777" w:rsidR="00276928" w:rsidRDefault="00276928" w:rsidP="00276928">
      <w:pPr>
        <w:pStyle w:val="Paragrafoelenco"/>
        <w:numPr>
          <w:ilvl w:val="0"/>
          <w:numId w:val="3"/>
        </w:numPr>
        <w:rPr>
          <w:lang w:val="en-US"/>
        </w:rPr>
      </w:pPr>
      <w:r>
        <w:rPr>
          <w:lang w:val="en-US"/>
        </w:rPr>
        <w:t>Global economic trends</w:t>
      </w:r>
    </w:p>
    <w:p w14:paraId="29EFE6CF" w14:textId="77777777" w:rsidR="00276928" w:rsidRPr="00276928" w:rsidRDefault="00276928" w:rsidP="00276928">
      <w:pPr>
        <w:rPr>
          <w:lang w:val="en-US"/>
        </w:rPr>
      </w:pPr>
    </w:p>
    <w:p w14:paraId="187A7D98" w14:textId="0473428A" w:rsidR="00276928" w:rsidRPr="00276928" w:rsidRDefault="00276928" w:rsidP="00276928">
      <w:pPr>
        <w:pStyle w:val="Paragrafoelenco"/>
        <w:numPr>
          <w:ilvl w:val="0"/>
          <w:numId w:val="3"/>
        </w:numPr>
        <w:rPr>
          <w:lang w:val="en-US"/>
        </w:rPr>
      </w:pPr>
      <w:r w:rsidRPr="00276928">
        <w:rPr>
          <w:lang w:val="en-US"/>
        </w:rPr>
        <w:t xml:space="preserve">Political stability </w:t>
      </w:r>
      <w:r>
        <w:rPr>
          <w:lang w:val="en-US"/>
        </w:rPr>
        <w:t>(</w:t>
      </w:r>
      <w:r w:rsidRPr="00276928">
        <w:rPr>
          <w:lang w:val="en-US"/>
        </w:rPr>
        <w:t xml:space="preserve">Examples: </w:t>
      </w:r>
    </w:p>
    <w:p w14:paraId="2E30E665" w14:textId="77777777" w:rsidR="00276928" w:rsidRDefault="00276928" w:rsidP="00276928">
      <w:pPr>
        <w:rPr>
          <w:lang w:val="en-US"/>
        </w:rPr>
      </w:pPr>
      <w:r w:rsidRPr="00697FBF">
        <w:rPr>
          <w:b/>
          <w:bCs/>
          <w:lang w:val="en-US"/>
        </w:rPr>
        <w:t>Somalia:</w:t>
      </w:r>
      <w:r w:rsidRPr="00697FBF">
        <w:rPr>
          <w:lang w:val="en-US"/>
        </w:rPr>
        <w:t xml:space="preserve"> Decades of civil war and political instability in Somalia have disrupted agriculture and food distribution systems. The situation is compounded by droughts and other climate-related issues, leading to chronic food insecurity and dependence on international food aid.</w:t>
      </w:r>
    </w:p>
    <w:p w14:paraId="0FE43327" w14:textId="77A755A8" w:rsidR="00276928" w:rsidRDefault="00276928" w:rsidP="00276928">
      <w:pPr>
        <w:rPr>
          <w:lang w:val="en-US"/>
        </w:rPr>
      </w:pPr>
      <w:r w:rsidRPr="00697FBF">
        <w:rPr>
          <w:b/>
          <w:bCs/>
          <w:lang w:val="en-US"/>
        </w:rPr>
        <w:t>Yemen:</w:t>
      </w:r>
      <w:r w:rsidRPr="00697FBF">
        <w:rPr>
          <w:lang w:val="en-US"/>
        </w:rPr>
        <w:t xml:space="preserve"> The ongoing conflict in Yemen, exacerbated by political instability, has resulted in one of the world's worst humanitarian crises. The conflict has severely impacted food production and importation, leading to widespread famine-like conditions.</w:t>
      </w:r>
      <w:r>
        <w:rPr>
          <w:lang w:val="en-US"/>
        </w:rPr>
        <w:t>)</w:t>
      </w:r>
    </w:p>
    <w:p w14:paraId="091B4D1A" w14:textId="77777777" w:rsidR="00276928" w:rsidRPr="00276928" w:rsidRDefault="00276928" w:rsidP="00276928">
      <w:pPr>
        <w:rPr>
          <w:lang w:val="en-US"/>
        </w:rPr>
      </w:pPr>
    </w:p>
    <w:p w14:paraId="408B1A10" w14:textId="77777777" w:rsidR="00276928" w:rsidRPr="00FF10DC" w:rsidRDefault="00276928" w:rsidP="00276928">
      <w:pPr>
        <w:pStyle w:val="Paragrafoelenco"/>
        <w:numPr>
          <w:ilvl w:val="0"/>
          <w:numId w:val="3"/>
        </w:numPr>
        <w:rPr>
          <w:lang w:val="en-US"/>
        </w:rPr>
      </w:pPr>
      <w:r>
        <w:rPr>
          <w:lang w:val="en-US"/>
        </w:rPr>
        <w:t>Environmental changes</w:t>
      </w:r>
    </w:p>
    <w:p w14:paraId="3373A8D0" w14:textId="77777777" w:rsidR="00276928" w:rsidRDefault="00276928" w:rsidP="00276928">
      <w:pPr>
        <w:rPr>
          <w:b/>
          <w:bCs/>
          <w:lang w:val="en-US"/>
        </w:rPr>
      </w:pPr>
    </w:p>
    <w:p w14:paraId="1FF784E6" w14:textId="77777777" w:rsidR="00276928" w:rsidRPr="006C6C60" w:rsidRDefault="00276928" w:rsidP="00276928">
      <w:pPr>
        <w:rPr>
          <w:b/>
          <w:bCs/>
          <w:lang w:val="en-US"/>
        </w:rPr>
      </w:pPr>
    </w:p>
    <w:p w14:paraId="6062D4FC" w14:textId="40281E71" w:rsidR="00276928" w:rsidRPr="000854D7" w:rsidRDefault="00276928" w:rsidP="00276928">
      <w:pPr>
        <w:pStyle w:val="Paragrafoelenco"/>
        <w:numPr>
          <w:ilvl w:val="0"/>
          <w:numId w:val="1"/>
        </w:numPr>
      </w:pPr>
      <w:r w:rsidRPr="00276928">
        <w:rPr>
          <w:b/>
          <w:bCs/>
        </w:rPr>
        <w:t xml:space="preserve">ACCOMMODATION FOR FUTURE ACTIONS: </w:t>
      </w:r>
      <w:r>
        <w:t>The recommendations emphasized collaborative efforts among various governments, international agencies, the private sector, and civil societies in dealing with the complicated food security issues that result from interactions between global trends, politics, and climate change.</w:t>
      </w:r>
    </w:p>
    <w:p w14:paraId="75B23402" w14:textId="4A91AC2D" w:rsidR="00276928" w:rsidRPr="00276928" w:rsidRDefault="00276928" w:rsidP="00276928">
      <w:pPr>
        <w:rPr>
          <w:b/>
          <w:bCs/>
          <w:lang w:val="en-US"/>
        </w:rPr>
      </w:pPr>
    </w:p>
    <w:p w14:paraId="348A0C84" w14:textId="77777777" w:rsidR="00276928" w:rsidRDefault="00276928" w:rsidP="00276928"/>
    <w:p w14:paraId="49750DC0" w14:textId="77777777" w:rsidR="005C2C71" w:rsidRDefault="005C2C71" w:rsidP="00276928"/>
    <w:p w14:paraId="729E5C0A" w14:textId="77777777" w:rsidR="005C2C71" w:rsidRDefault="005C2C71" w:rsidP="00276928"/>
    <w:p w14:paraId="224E0556" w14:textId="77777777" w:rsidR="005C2C71" w:rsidRDefault="005C2C71" w:rsidP="00276928"/>
    <w:p w14:paraId="06BB8C37" w14:textId="77777777" w:rsidR="005C2C71" w:rsidRDefault="005C2C71" w:rsidP="00276928"/>
    <w:p w14:paraId="3F2B898D" w14:textId="77777777" w:rsidR="005C2C71" w:rsidRDefault="005C2C71" w:rsidP="00276928"/>
    <w:p w14:paraId="738773CE" w14:textId="77777777" w:rsidR="005C2C71" w:rsidRDefault="005C2C71" w:rsidP="00276928"/>
    <w:p w14:paraId="7C8CDF81" w14:textId="77777777" w:rsidR="005C2C71" w:rsidRDefault="005C2C71" w:rsidP="00276928"/>
    <w:p w14:paraId="6D26474E" w14:textId="77777777" w:rsidR="005C2C71" w:rsidRDefault="005C2C71" w:rsidP="00276928"/>
    <w:p w14:paraId="55335385" w14:textId="77777777" w:rsidR="005C2C71" w:rsidRDefault="005C2C71" w:rsidP="00276928"/>
    <w:p w14:paraId="457A8D72" w14:textId="40FC6C5F" w:rsidR="005C2C71" w:rsidRPr="005C2C71" w:rsidRDefault="005C2C71" w:rsidP="00276928">
      <w:pPr>
        <w:rPr>
          <w:lang w:val="it-IT"/>
        </w:rPr>
      </w:pPr>
      <w:r w:rsidRPr="005C2C71">
        <w:lastRenderedPageBreak/>
        <w:t>Resource</w:t>
      </w:r>
      <w:r>
        <w:rPr>
          <w:lang w:val="it-IT"/>
        </w:rPr>
        <w:t>s list:</w:t>
      </w:r>
    </w:p>
    <w:p w14:paraId="09911839" w14:textId="77777777" w:rsidR="005C2C71" w:rsidRDefault="005C2C71" w:rsidP="005C2C71">
      <w:pPr>
        <w:rPr>
          <w:color w:val="000000"/>
        </w:rPr>
      </w:pPr>
    </w:p>
    <w:p w14:paraId="1E5AF2F7" w14:textId="77777777" w:rsidR="005C2C71" w:rsidRDefault="005C2C71" w:rsidP="00276928">
      <w:hyperlink r:id="rId5" w:history="1">
        <w:r w:rsidRPr="00E371D5">
          <w:rPr>
            <w:rStyle w:val="Collegamentoipertestuale"/>
          </w:rPr>
          <w:t>https://www.bayer.com/en/agriculture/food-chain-partnership</w:t>
        </w:r>
      </w:hyperlink>
    </w:p>
    <w:p w14:paraId="2227A04F" w14:textId="77777777" w:rsidR="005C2C71" w:rsidRDefault="005C2C71" w:rsidP="00276928">
      <w:hyperlink r:id="rId6" w:history="1">
        <w:r w:rsidRPr="00E371D5">
          <w:rPr>
            <w:rStyle w:val="Collegamentoipertestuale"/>
          </w:rPr>
          <w:t>https://www.bayer.com/en/agriculture/sustainable-agriculture</w:t>
        </w:r>
      </w:hyperlink>
    </w:p>
    <w:p w14:paraId="7024CCBA" w14:textId="77777777" w:rsidR="005C2C71" w:rsidRDefault="005C2C71" w:rsidP="00276928"/>
    <w:p w14:paraId="653DC17A" w14:textId="77777777" w:rsidR="005C2C71" w:rsidRDefault="005C2C71" w:rsidP="00276928">
      <w:hyperlink r:id="rId7" w:history="1">
        <w:r w:rsidRPr="00E371D5">
          <w:rPr>
            <w:rStyle w:val="Collegamentoipertestuale"/>
          </w:rPr>
          <w:t>https://www.cargill.com/foodservice/food-safety-quality</w:t>
        </w:r>
      </w:hyperlink>
    </w:p>
    <w:p w14:paraId="0D3449CD" w14:textId="77777777" w:rsidR="005C2C71" w:rsidRDefault="005C2C71" w:rsidP="00276928">
      <w:hyperlink r:id="rId8" w:history="1">
        <w:r w:rsidRPr="00E371D5">
          <w:rPr>
            <w:rStyle w:val="Collegamentoipertestuale"/>
          </w:rPr>
          <w:t>https://www.cargill.com/news/food-security</w:t>
        </w:r>
      </w:hyperlink>
    </w:p>
    <w:p w14:paraId="71B559AE" w14:textId="77777777" w:rsidR="005C2C71" w:rsidRDefault="005C2C71" w:rsidP="00276928"/>
    <w:p w14:paraId="2A000734" w14:textId="77777777" w:rsidR="005C2C71" w:rsidRDefault="005C2C71" w:rsidP="00276928">
      <w:hyperlink r:id="rId9" w:history="1">
        <w:r w:rsidRPr="00E371D5">
          <w:rPr>
            <w:rStyle w:val="Collegamentoipertestuale"/>
          </w:rPr>
          <w:t>https://www.fao.org/3/i5188e/i5188e.pdf</w:t>
        </w:r>
      </w:hyperlink>
    </w:p>
    <w:p w14:paraId="5E21258A" w14:textId="77777777" w:rsidR="005C2C71" w:rsidRDefault="005C2C71" w:rsidP="00276928">
      <w:hyperlink r:id="rId10" w:history="1">
        <w:r w:rsidRPr="00E371D5">
          <w:rPr>
            <w:rStyle w:val="Collegamentoipertestuale"/>
          </w:rPr>
          <w:t>https://www.fao.org/home/en</w:t>
        </w:r>
      </w:hyperlink>
    </w:p>
    <w:p w14:paraId="53A639CB" w14:textId="77777777" w:rsidR="005C2C71" w:rsidRDefault="005C2C71" w:rsidP="00276928"/>
    <w:p w14:paraId="38A9FC32" w14:textId="77777777" w:rsidR="005C2C71" w:rsidRDefault="005C2C71" w:rsidP="00276928">
      <w:hyperlink r:id="rId11" w:history="1">
        <w:r w:rsidRPr="00E371D5">
          <w:rPr>
            <w:rStyle w:val="Collegamentoipertestuale"/>
          </w:rPr>
          <w:t>https://www.wfp.org/food-assistance</w:t>
        </w:r>
      </w:hyperlink>
    </w:p>
    <w:p w14:paraId="6C3CD491" w14:textId="77777777" w:rsidR="005C2C71" w:rsidRDefault="005C2C71" w:rsidP="00276928">
      <w:hyperlink r:id="rId12" w:history="1">
        <w:r w:rsidRPr="00E371D5">
          <w:rPr>
            <w:rStyle w:val="Collegamentoipertestuale"/>
          </w:rPr>
          <w:t>https://www.wfp.org/global-hunger-crisi</w:t>
        </w:r>
        <w:r w:rsidRPr="00E371D5">
          <w:rPr>
            <w:rStyle w:val="Collegamentoipertestuale"/>
          </w:rPr>
          <w:t>s</w:t>
        </w:r>
      </w:hyperlink>
    </w:p>
    <w:p w14:paraId="5612573C" w14:textId="77777777" w:rsidR="005C2C71" w:rsidRDefault="005C2C71" w:rsidP="00276928"/>
    <w:p w14:paraId="74B3A6AC" w14:textId="77777777" w:rsidR="005C2C71" w:rsidRDefault="005C2C71" w:rsidP="00276928">
      <w:hyperlink r:id="rId13" w:history="1">
        <w:r w:rsidRPr="00E371D5">
          <w:rPr>
            <w:rStyle w:val="Collegamentoipertestuale"/>
          </w:rPr>
          <w:t>https://www.who.int/health-topics/food-safety#tab=tab_1</w:t>
        </w:r>
      </w:hyperlink>
    </w:p>
    <w:p w14:paraId="3B629D90" w14:textId="77777777" w:rsidR="005C2C71" w:rsidRDefault="005C2C71" w:rsidP="00276928"/>
    <w:p w14:paraId="2B0E192F" w14:textId="77777777" w:rsidR="005C2C71" w:rsidRDefault="005C2C71" w:rsidP="005C2C71">
      <w:pPr>
        <w:rPr>
          <w:color w:val="000000"/>
        </w:rPr>
      </w:pPr>
      <w:r>
        <w:rPr>
          <w:color w:val="000000"/>
        </w:rPr>
        <w:t>Mifsud, M. (2007). CIVIL AND FOOD INSECURITY IN SOMALIA: AN ANALYSIS.</w:t>
      </w:r>
      <w:r>
        <w:rPr>
          <w:rStyle w:val="apple-converted-space"/>
          <w:color w:val="000000"/>
        </w:rPr>
        <w:t> </w:t>
      </w:r>
      <w:r>
        <w:rPr>
          <w:i/>
          <w:iCs/>
          <w:color w:val="000000"/>
        </w:rPr>
        <w:t>Africa: Rivista Trimestrale Di Studi e Documentazione Dell’Istituto Italiano per l’Africa e l’Oriente</w:t>
      </w:r>
      <w:r>
        <w:rPr>
          <w:color w:val="000000"/>
        </w:rPr>
        <w:t>,</w:t>
      </w:r>
      <w:r>
        <w:rPr>
          <w:rStyle w:val="apple-converted-space"/>
          <w:color w:val="000000"/>
        </w:rPr>
        <w:t> </w:t>
      </w:r>
      <w:r>
        <w:rPr>
          <w:i/>
          <w:iCs/>
          <w:color w:val="000000"/>
        </w:rPr>
        <w:t>62</w:t>
      </w:r>
      <w:r>
        <w:rPr>
          <w:color w:val="000000"/>
        </w:rPr>
        <w:t xml:space="preserve">(3), 439–442. </w:t>
      </w:r>
      <w:hyperlink r:id="rId14" w:history="1">
        <w:r w:rsidRPr="00E371D5">
          <w:rPr>
            <w:rStyle w:val="Collegamentoipertestuale"/>
          </w:rPr>
          <w:t>http://www.jstor.org/stable/25734457</w:t>
        </w:r>
      </w:hyperlink>
    </w:p>
    <w:p w14:paraId="2441C4B6" w14:textId="77777777" w:rsidR="005C2C71" w:rsidRDefault="005C2C71" w:rsidP="005C2C71">
      <w:pPr>
        <w:rPr>
          <w:color w:val="000000"/>
        </w:rPr>
      </w:pPr>
    </w:p>
    <w:p w14:paraId="56E8EDEC" w14:textId="77777777" w:rsidR="005C2C71" w:rsidRPr="005C2C71" w:rsidRDefault="005C2C71" w:rsidP="005C2C71">
      <w:pPr>
        <w:rPr>
          <w:color w:val="000000"/>
        </w:rPr>
      </w:pPr>
      <w:r w:rsidRPr="005C2C71">
        <w:rPr>
          <w:color w:val="000000"/>
          <w:shd w:val="clear" w:color="auto" w:fill="FFFFFF"/>
        </w:rPr>
        <w:t>TANDON, S. and VISHWANATH, T., 2020. The evolution of poor food access over the course of the conflict in Yemen.</w:t>
      </w:r>
      <w:r w:rsidRPr="005C2C71">
        <w:rPr>
          <w:rStyle w:val="apple-converted-space"/>
          <w:color w:val="000000"/>
          <w:shd w:val="clear" w:color="auto" w:fill="FFFFFF"/>
        </w:rPr>
        <w:t> </w:t>
      </w:r>
      <w:r w:rsidRPr="005C2C71">
        <w:rPr>
          <w:i/>
          <w:iCs/>
          <w:color w:val="000000"/>
        </w:rPr>
        <w:t>World Development,</w:t>
      </w:r>
      <w:r w:rsidRPr="005C2C71">
        <w:rPr>
          <w:rStyle w:val="apple-converted-space"/>
          <w:i/>
          <w:iCs/>
          <w:color w:val="000000"/>
        </w:rPr>
        <w:t> </w:t>
      </w:r>
      <w:r w:rsidRPr="005C2C71">
        <w:rPr>
          <w:b/>
          <w:bCs/>
          <w:color w:val="000000"/>
        </w:rPr>
        <w:t>130</w:t>
      </w:r>
      <w:r w:rsidRPr="005C2C71">
        <w:rPr>
          <w:color w:val="000000"/>
          <w:shd w:val="clear" w:color="auto" w:fill="FFFFFF"/>
        </w:rPr>
        <w:t>, pp. 104922.</w:t>
      </w:r>
    </w:p>
    <w:p w14:paraId="75E9755B" w14:textId="77777777" w:rsidR="005C2C71" w:rsidRPr="00276928" w:rsidRDefault="005C2C71" w:rsidP="00276928"/>
    <w:sectPr w:rsidR="005C2C71" w:rsidRPr="00276928" w:rsidSect="002769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551"/>
    <w:multiLevelType w:val="hybridMultilevel"/>
    <w:tmpl w:val="CB4CDD80"/>
    <w:lvl w:ilvl="0" w:tplc="5F76C270">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6E2877"/>
    <w:multiLevelType w:val="hybridMultilevel"/>
    <w:tmpl w:val="6B5C0B44"/>
    <w:lvl w:ilvl="0" w:tplc="572CBF3A">
      <w:start w:val="1"/>
      <w:numFmt w:val="decimal"/>
      <w:lvlText w:val="%1."/>
      <w:lvlJc w:val="left"/>
      <w:pPr>
        <w:ind w:left="720" w:hanging="360"/>
      </w:pPr>
      <w:rPr>
        <w:rFonts w:hint="default"/>
      </w:rPr>
    </w:lvl>
    <w:lvl w:ilvl="1" w:tplc="BAA84278" w:tentative="1">
      <w:start w:val="1"/>
      <w:numFmt w:val="lowerLetter"/>
      <w:lvlText w:val="%2."/>
      <w:lvlJc w:val="left"/>
      <w:pPr>
        <w:ind w:left="1440" w:hanging="360"/>
      </w:pPr>
    </w:lvl>
    <w:lvl w:ilvl="2" w:tplc="47E46D34" w:tentative="1">
      <w:start w:val="1"/>
      <w:numFmt w:val="lowerRoman"/>
      <w:lvlText w:val="%3."/>
      <w:lvlJc w:val="right"/>
      <w:pPr>
        <w:ind w:left="2160" w:hanging="180"/>
      </w:pPr>
    </w:lvl>
    <w:lvl w:ilvl="3" w:tplc="F2647736" w:tentative="1">
      <w:start w:val="1"/>
      <w:numFmt w:val="decimal"/>
      <w:lvlText w:val="%4."/>
      <w:lvlJc w:val="left"/>
      <w:pPr>
        <w:ind w:left="2880" w:hanging="360"/>
      </w:pPr>
    </w:lvl>
    <w:lvl w:ilvl="4" w:tplc="C6C0423C" w:tentative="1">
      <w:start w:val="1"/>
      <w:numFmt w:val="lowerLetter"/>
      <w:lvlText w:val="%5."/>
      <w:lvlJc w:val="left"/>
      <w:pPr>
        <w:ind w:left="3600" w:hanging="360"/>
      </w:pPr>
    </w:lvl>
    <w:lvl w:ilvl="5" w:tplc="65447C16" w:tentative="1">
      <w:start w:val="1"/>
      <w:numFmt w:val="lowerRoman"/>
      <w:lvlText w:val="%6."/>
      <w:lvlJc w:val="right"/>
      <w:pPr>
        <w:ind w:left="4320" w:hanging="180"/>
      </w:pPr>
    </w:lvl>
    <w:lvl w:ilvl="6" w:tplc="FF7CBF8C" w:tentative="1">
      <w:start w:val="1"/>
      <w:numFmt w:val="decimal"/>
      <w:lvlText w:val="%7."/>
      <w:lvlJc w:val="left"/>
      <w:pPr>
        <w:ind w:left="5040" w:hanging="360"/>
      </w:pPr>
    </w:lvl>
    <w:lvl w:ilvl="7" w:tplc="1548AF54" w:tentative="1">
      <w:start w:val="1"/>
      <w:numFmt w:val="lowerLetter"/>
      <w:lvlText w:val="%8."/>
      <w:lvlJc w:val="left"/>
      <w:pPr>
        <w:ind w:left="5760" w:hanging="360"/>
      </w:pPr>
    </w:lvl>
    <w:lvl w:ilvl="8" w:tplc="DDDE40CE" w:tentative="1">
      <w:start w:val="1"/>
      <w:numFmt w:val="lowerRoman"/>
      <w:lvlText w:val="%9."/>
      <w:lvlJc w:val="right"/>
      <w:pPr>
        <w:ind w:left="6480" w:hanging="180"/>
      </w:pPr>
    </w:lvl>
  </w:abstractNum>
  <w:abstractNum w:abstractNumId="2" w15:restartNumberingAfterBreak="0">
    <w:nsid w:val="53731949"/>
    <w:multiLevelType w:val="hybridMultilevel"/>
    <w:tmpl w:val="E9F032B2"/>
    <w:lvl w:ilvl="0" w:tplc="EE4EC70E">
      <w:start w:val="1"/>
      <w:numFmt w:val="bullet"/>
      <w:lvlText w:val="-"/>
      <w:lvlJc w:val="left"/>
      <w:pPr>
        <w:ind w:left="1080" w:hanging="360"/>
      </w:pPr>
      <w:rPr>
        <w:rFonts w:ascii="Calibri" w:eastAsiaTheme="minorHAnsi" w:hAnsi="Calibri" w:cs="Calibri" w:hint="default"/>
      </w:rPr>
    </w:lvl>
    <w:lvl w:ilvl="1" w:tplc="11B800C0" w:tentative="1">
      <w:start w:val="1"/>
      <w:numFmt w:val="bullet"/>
      <w:lvlText w:val="o"/>
      <w:lvlJc w:val="left"/>
      <w:pPr>
        <w:ind w:left="1800" w:hanging="360"/>
      </w:pPr>
      <w:rPr>
        <w:rFonts w:ascii="Courier New" w:hAnsi="Courier New" w:cs="Courier New" w:hint="default"/>
      </w:rPr>
    </w:lvl>
    <w:lvl w:ilvl="2" w:tplc="2D0EFAFE" w:tentative="1">
      <w:start w:val="1"/>
      <w:numFmt w:val="bullet"/>
      <w:lvlText w:val=""/>
      <w:lvlJc w:val="left"/>
      <w:pPr>
        <w:ind w:left="2520" w:hanging="360"/>
      </w:pPr>
      <w:rPr>
        <w:rFonts w:ascii="Wingdings" w:hAnsi="Wingdings" w:hint="default"/>
      </w:rPr>
    </w:lvl>
    <w:lvl w:ilvl="3" w:tplc="7304F11E" w:tentative="1">
      <w:start w:val="1"/>
      <w:numFmt w:val="bullet"/>
      <w:lvlText w:val=""/>
      <w:lvlJc w:val="left"/>
      <w:pPr>
        <w:ind w:left="3240" w:hanging="360"/>
      </w:pPr>
      <w:rPr>
        <w:rFonts w:ascii="Symbol" w:hAnsi="Symbol" w:hint="default"/>
      </w:rPr>
    </w:lvl>
    <w:lvl w:ilvl="4" w:tplc="AA449E24" w:tentative="1">
      <w:start w:val="1"/>
      <w:numFmt w:val="bullet"/>
      <w:lvlText w:val="o"/>
      <w:lvlJc w:val="left"/>
      <w:pPr>
        <w:ind w:left="3960" w:hanging="360"/>
      </w:pPr>
      <w:rPr>
        <w:rFonts w:ascii="Courier New" w:hAnsi="Courier New" w:cs="Courier New" w:hint="default"/>
      </w:rPr>
    </w:lvl>
    <w:lvl w:ilvl="5" w:tplc="718C9338" w:tentative="1">
      <w:start w:val="1"/>
      <w:numFmt w:val="bullet"/>
      <w:lvlText w:val=""/>
      <w:lvlJc w:val="left"/>
      <w:pPr>
        <w:ind w:left="4680" w:hanging="360"/>
      </w:pPr>
      <w:rPr>
        <w:rFonts w:ascii="Wingdings" w:hAnsi="Wingdings" w:hint="default"/>
      </w:rPr>
    </w:lvl>
    <w:lvl w:ilvl="6" w:tplc="543E282C" w:tentative="1">
      <w:start w:val="1"/>
      <w:numFmt w:val="bullet"/>
      <w:lvlText w:val=""/>
      <w:lvlJc w:val="left"/>
      <w:pPr>
        <w:ind w:left="5400" w:hanging="360"/>
      </w:pPr>
      <w:rPr>
        <w:rFonts w:ascii="Symbol" w:hAnsi="Symbol" w:hint="default"/>
      </w:rPr>
    </w:lvl>
    <w:lvl w:ilvl="7" w:tplc="96828664" w:tentative="1">
      <w:start w:val="1"/>
      <w:numFmt w:val="bullet"/>
      <w:lvlText w:val="o"/>
      <w:lvlJc w:val="left"/>
      <w:pPr>
        <w:ind w:left="6120" w:hanging="360"/>
      </w:pPr>
      <w:rPr>
        <w:rFonts w:ascii="Courier New" w:hAnsi="Courier New" w:cs="Courier New" w:hint="default"/>
      </w:rPr>
    </w:lvl>
    <w:lvl w:ilvl="8" w:tplc="2AFEAA68" w:tentative="1">
      <w:start w:val="1"/>
      <w:numFmt w:val="bullet"/>
      <w:lvlText w:val=""/>
      <w:lvlJc w:val="left"/>
      <w:pPr>
        <w:ind w:left="6840" w:hanging="360"/>
      </w:pPr>
      <w:rPr>
        <w:rFonts w:ascii="Wingdings" w:hAnsi="Wingdings" w:hint="default"/>
      </w:rPr>
    </w:lvl>
  </w:abstractNum>
  <w:abstractNum w:abstractNumId="3" w15:restartNumberingAfterBreak="0">
    <w:nsid w:val="579A7195"/>
    <w:multiLevelType w:val="hybridMultilevel"/>
    <w:tmpl w:val="67B649A0"/>
    <w:lvl w:ilvl="0" w:tplc="94A2881A">
      <w:start w:val="1"/>
      <w:numFmt w:val="bullet"/>
      <w:lvlText w:val=""/>
      <w:lvlJc w:val="left"/>
      <w:pPr>
        <w:ind w:left="720" w:hanging="360"/>
      </w:pPr>
      <w:rPr>
        <w:rFonts w:ascii="Symbol" w:hAnsi="Symbol" w:hint="default"/>
      </w:rPr>
    </w:lvl>
    <w:lvl w:ilvl="1" w:tplc="F5508752" w:tentative="1">
      <w:start w:val="1"/>
      <w:numFmt w:val="bullet"/>
      <w:lvlText w:val="o"/>
      <w:lvlJc w:val="left"/>
      <w:pPr>
        <w:ind w:left="1440" w:hanging="360"/>
      </w:pPr>
      <w:rPr>
        <w:rFonts w:ascii="Courier New" w:hAnsi="Courier New" w:cs="Courier New" w:hint="default"/>
      </w:rPr>
    </w:lvl>
    <w:lvl w:ilvl="2" w:tplc="F814B9BE" w:tentative="1">
      <w:start w:val="1"/>
      <w:numFmt w:val="bullet"/>
      <w:lvlText w:val=""/>
      <w:lvlJc w:val="left"/>
      <w:pPr>
        <w:ind w:left="2160" w:hanging="360"/>
      </w:pPr>
      <w:rPr>
        <w:rFonts w:ascii="Wingdings" w:hAnsi="Wingdings" w:hint="default"/>
      </w:rPr>
    </w:lvl>
    <w:lvl w:ilvl="3" w:tplc="2A44EE12" w:tentative="1">
      <w:start w:val="1"/>
      <w:numFmt w:val="bullet"/>
      <w:lvlText w:val=""/>
      <w:lvlJc w:val="left"/>
      <w:pPr>
        <w:ind w:left="2880" w:hanging="360"/>
      </w:pPr>
      <w:rPr>
        <w:rFonts w:ascii="Symbol" w:hAnsi="Symbol" w:hint="default"/>
      </w:rPr>
    </w:lvl>
    <w:lvl w:ilvl="4" w:tplc="B0A05764" w:tentative="1">
      <w:start w:val="1"/>
      <w:numFmt w:val="bullet"/>
      <w:lvlText w:val="o"/>
      <w:lvlJc w:val="left"/>
      <w:pPr>
        <w:ind w:left="3600" w:hanging="360"/>
      </w:pPr>
      <w:rPr>
        <w:rFonts w:ascii="Courier New" w:hAnsi="Courier New" w:cs="Courier New" w:hint="default"/>
      </w:rPr>
    </w:lvl>
    <w:lvl w:ilvl="5" w:tplc="F5E04AE4" w:tentative="1">
      <w:start w:val="1"/>
      <w:numFmt w:val="bullet"/>
      <w:lvlText w:val=""/>
      <w:lvlJc w:val="left"/>
      <w:pPr>
        <w:ind w:left="4320" w:hanging="360"/>
      </w:pPr>
      <w:rPr>
        <w:rFonts w:ascii="Wingdings" w:hAnsi="Wingdings" w:hint="default"/>
      </w:rPr>
    </w:lvl>
    <w:lvl w:ilvl="6" w:tplc="9580BC84" w:tentative="1">
      <w:start w:val="1"/>
      <w:numFmt w:val="bullet"/>
      <w:lvlText w:val=""/>
      <w:lvlJc w:val="left"/>
      <w:pPr>
        <w:ind w:left="5040" w:hanging="360"/>
      </w:pPr>
      <w:rPr>
        <w:rFonts w:ascii="Symbol" w:hAnsi="Symbol" w:hint="default"/>
      </w:rPr>
    </w:lvl>
    <w:lvl w:ilvl="7" w:tplc="89F4EDE0" w:tentative="1">
      <w:start w:val="1"/>
      <w:numFmt w:val="bullet"/>
      <w:lvlText w:val="o"/>
      <w:lvlJc w:val="left"/>
      <w:pPr>
        <w:ind w:left="5760" w:hanging="360"/>
      </w:pPr>
      <w:rPr>
        <w:rFonts w:ascii="Courier New" w:hAnsi="Courier New" w:cs="Courier New" w:hint="default"/>
      </w:rPr>
    </w:lvl>
    <w:lvl w:ilvl="8" w:tplc="65ECA566" w:tentative="1">
      <w:start w:val="1"/>
      <w:numFmt w:val="bullet"/>
      <w:lvlText w:val=""/>
      <w:lvlJc w:val="left"/>
      <w:pPr>
        <w:ind w:left="6480" w:hanging="360"/>
      </w:pPr>
      <w:rPr>
        <w:rFonts w:ascii="Wingdings" w:hAnsi="Wingdings" w:hint="default"/>
      </w:rPr>
    </w:lvl>
  </w:abstractNum>
  <w:num w:numId="1" w16cid:durableId="683944606">
    <w:abstractNumId w:val="1"/>
  </w:num>
  <w:num w:numId="2" w16cid:durableId="1921482118">
    <w:abstractNumId w:val="3"/>
  </w:num>
  <w:num w:numId="3" w16cid:durableId="2125033396">
    <w:abstractNumId w:val="2"/>
  </w:num>
  <w:num w:numId="4" w16cid:durableId="10708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28"/>
    <w:rsid w:val="00276928"/>
    <w:rsid w:val="00441A6A"/>
    <w:rsid w:val="005C2C71"/>
    <w:rsid w:val="00B945DE"/>
  </w:rsids>
  <m:mathPr>
    <m:mathFont m:val="Cambria Math"/>
    <m:brkBin m:val="before"/>
    <m:brkBinSub m:val="--"/>
    <m:smallFrac m:val="0"/>
    <m:dispDef/>
    <m:lMargin m:val="0"/>
    <m:rMargin m:val="0"/>
    <m:defJc m:val="centerGroup"/>
    <m:wrapIndent m:val="1440"/>
    <m:intLim m:val="subSup"/>
    <m:naryLim m:val="undOvr"/>
  </m:mathPr>
  <w:themeFontLang w:val="it-GB"/>
  <w:clrSchemeMapping w:bg1="light1" w:t1="dark1" w:bg2="light2" w:t2="dark2" w:accent1="accent1" w:accent2="accent2" w:accent3="accent3" w:accent4="accent4" w:accent5="accent5" w:accent6="accent6" w:hyperlink="hyperlink" w:followedHyperlink="followedHyperlink"/>
  <w:decimalSymbol w:val="."/>
  <w:listSeparator w:val=";"/>
  <w14:docId w14:val="06860239"/>
  <w15:chartTrackingRefBased/>
  <w15:docId w15:val="{03C41CB1-4C08-6940-8207-59507645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2C71"/>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6928"/>
    <w:pPr>
      <w:ind w:left="720"/>
      <w:contextualSpacing/>
    </w:pPr>
    <w:rPr>
      <w:rFonts w:asciiTheme="minorHAnsi" w:eastAsiaTheme="minorHAnsi" w:hAnsiTheme="minorHAnsi" w:cstheme="minorBidi"/>
      <w:kern w:val="2"/>
      <w:lang w:val="en-GB" w:eastAsia="en-US"/>
      <w14:ligatures w14:val="standardContextual"/>
    </w:rPr>
  </w:style>
  <w:style w:type="character" w:styleId="Collegamentoipertestuale">
    <w:name w:val="Hyperlink"/>
    <w:basedOn w:val="Carpredefinitoparagrafo"/>
    <w:uiPriority w:val="99"/>
    <w:unhideWhenUsed/>
    <w:rsid w:val="005C2C71"/>
    <w:rPr>
      <w:color w:val="0563C1" w:themeColor="hyperlink"/>
      <w:u w:val="single"/>
    </w:rPr>
  </w:style>
  <w:style w:type="character" w:styleId="Menzionenonrisolta">
    <w:name w:val="Unresolved Mention"/>
    <w:basedOn w:val="Carpredefinitoparagrafo"/>
    <w:uiPriority w:val="99"/>
    <w:semiHidden/>
    <w:unhideWhenUsed/>
    <w:rsid w:val="005C2C71"/>
    <w:rPr>
      <w:color w:val="605E5C"/>
      <w:shd w:val="clear" w:color="auto" w:fill="E1DFDD"/>
    </w:rPr>
  </w:style>
  <w:style w:type="character" w:customStyle="1" w:styleId="apple-converted-space">
    <w:name w:val="apple-converted-space"/>
    <w:basedOn w:val="Carpredefinitoparagrafo"/>
    <w:rsid w:val="005C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3023">
      <w:bodyDiv w:val="1"/>
      <w:marLeft w:val="0"/>
      <w:marRight w:val="0"/>
      <w:marTop w:val="0"/>
      <w:marBottom w:val="0"/>
      <w:divBdr>
        <w:top w:val="none" w:sz="0" w:space="0" w:color="auto"/>
        <w:left w:val="none" w:sz="0" w:space="0" w:color="auto"/>
        <w:bottom w:val="none" w:sz="0" w:space="0" w:color="auto"/>
        <w:right w:val="none" w:sz="0" w:space="0" w:color="auto"/>
      </w:divBdr>
      <w:divsChild>
        <w:div w:id="1602645325">
          <w:marLeft w:val="0"/>
          <w:marRight w:val="0"/>
          <w:marTop w:val="0"/>
          <w:marBottom w:val="0"/>
          <w:divBdr>
            <w:top w:val="none" w:sz="0" w:space="0" w:color="auto"/>
            <w:left w:val="none" w:sz="0" w:space="0" w:color="auto"/>
            <w:bottom w:val="none" w:sz="0" w:space="0" w:color="auto"/>
            <w:right w:val="none" w:sz="0" w:space="0" w:color="auto"/>
          </w:divBdr>
          <w:divsChild>
            <w:div w:id="1038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gill.com/news/food-security" TargetMode="External"/><Relationship Id="rId13" Type="http://schemas.openxmlformats.org/officeDocument/2006/relationships/hyperlink" Target="https://www.who.int/health-topics/food-safety#tab=tab_1" TargetMode="External"/><Relationship Id="rId3" Type="http://schemas.openxmlformats.org/officeDocument/2006/relationships/settings" Target="settings.xml"/><Relationship Id="rId7" Type="http://schemas.openxmlformats.org/officeDocument/2006/relationships/hyperlink" Target="https://www.cargill.com/foodservice/food-safety-quality" TargetMode="External"/><Relationship Id="rId12" Type="http://schemas.openxmlformats.org/officeDocument/2006/relationships/hyperlink" Target="https://www.wfp.org/global-hunger-cris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ayer.com/en/agriculture/sustainable-agriculture" TargetMode="External"/><Relationship Id="rId11" Type="http://schemas.openxmlformats.org/officeDocument/2006/relationships/hyperlink" Target="https://www.wfp.org/food-assistance" TargetMode="External"/><Relationship Id="rId5" Type="http://schemas.openxmlformats.org/officeDocument/2006/relationships/hyperlink" Target="https://www.bayer.com/en/agriculture/food-chain-partnership" TargetMode="External"/><Relationship Id="rId15" Type="http://schemas.openxmlformats.org/officeDocument/2006/relationships/fontTable" Target="fontTable.xml"/><Relationship Id="rId10" Type="http://schemas.openxmlformats.org/officeDocument/2006/relationships/hyperlink" Target="https://www.fao.org/home/en" TargetMode="External"/><Relationship Id="rId4" Type="http://schemas.openxmlformats.org/officeDocument/2006/relationships/webSettings" Target="webSettings.xml"/><Relationship Id="rId9" Type="http://schemas.openxmlformats.org/officeDocument/2006/relationships/hyperlink" Target="https://www.fao.org/3/i5188e/i5188e.pdf" TargetMode="External"/><Relationship Id="rId14" Type="http://schemas.openxmlformats.org/officeDocument/2006/relationships/hyperlink" Target="http://www.jstor.org/stable/2573445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Forzieri</dc:creator>
  <cp:keywords/>
  <dc:description/>
  <cp:lastModifiedBy>Emilia Forzieri</cp:lastModifiedBy>
  <cp:revision>2</cp:revision>
  <dcterms:created xsi:type="dcterms:W3CDTF">2023-11-19T22:13:00Z</dcterms:created>
  <dcterms:modified xsi:type="dcterms:W3CDTF">2023-11-19T22:35:00Z</dcterms:modified>
</cp:coreProperties>
</file>