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066" w:rsidRPr="00DA6CCD" w:rsidRDefault="00DA6CCD">
      <w:pPr>
        <w:rPr>
          <w:sz w:val="40"/>
          <w:szCs w:val="40"/>
        </w:rPr>
      </w:pPr>
      <w:r w:rsidRPr="00DA6CCD">
        <w:rPr>
          <w:sz w:val="40"/>
          <w:szCs w:val="40"/>
        </w:rPr>
        <w:t>A CASE STUDY TO UNDERSTAND THE APPLICATION OF CORPORATE SOCIAL RESPONSIBILITY AS BRANDING AND PROMOTIONAL TOOL IN BEVERAGE ALCOHOL INDUSTRY OF INDIA</w:t>
      </w:r>
    </w:p>
    <w:sectPr w:rsidR="00676066" w:rsidRPr="00DA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D"/>
    <w:rsid w:val="00676066"/>
    <w:rsid w:val="00D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1358-9584-4578-A059-86AFFFB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4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 Singh</dc:creator>
  <cp:keywords/>
  <dc:description/>
  <cp:lastModifiedBy>Nish Singh</cp:lastModifiedBy>
  <cp:revision>1</cp:revision>
  <dcterms:created xsi:type="dcterms:W3CDTF">2023-12-04T19:36:00Z</dcterms:created>
  <dcterms:modified xsi:type="dcterms:W3CDTF">2023-12-04T19:36:00Z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21b95c04-ebb4-4687-963e-e0632b1b5c9e</vt:lpwstr>
  </property>
</Properties>
</file>