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B48" w:rsidRDefault="00000000">
      <w:pPr>
        <w:pStyle w:val="Body"/>
        <w:rPr>
          <w:rFonts w:ascii="Times New Roman" w:eastAsia="Times New Roman" w:hAnsi="Times New Roman" w:cs="Times New Roman"/>
          <w:sz w:val="24"/>
          <w:szCs w:val="24"/>
        </w:rPr>
      </w:pPr>
      <w:r>
        <w:rPr>
          <w:rFonts w:ascii="Times New Roman" w:hAnsi="Times New Roman"/>
          <w:sz w:val="24"/>
          <w:szCs w:val="24"/>
        </w:rPr>
        <w:t>Public International Law</w:t>
      </w:r>
    </w:p>
    <w:p w:rsidR="00AC2B48" w:rsidRDefault="00AC2B48">
      <w:pPr>
        <w:pStyle w:val="Body"/>
        <w:rPr>
          <w:rFonts w:ascii="Times New Roman" w:eastAsia="Times New Roman" w:hAnsi="Times New Roman" w:cs="Times New Roman"/>
          <w:sz w:val="24"/>
          <w:szCs w:val="24"/>
        </w:rPr>
      </w:pPr>
    </w:p>
    <w:p w:rsidR="00AC2B48" w:rsidRDefault="00000000">
      <w:pPr>
        <w:pStyle w:val="Body"/>
        <w:rPr>
          <w:rFonts w:ascii="Times New Roman" w:eastAsia="Times New Roman" w:hAnsi="Times New Roman" w:cs="Times New Roman"/>
          <w:sz w:val="23"/>
          <w:szCs w:val="23"/>
        </w:rPr>
      </w:pPr>
      <w:r>
        <w:rPr>
          <w:rFonts w:ascii="Times New Roman" w:hAnsi="Times New Roman"/>
          <w:sz w:val="23"/>
          <w:szCs w:val="23"/>
        </w:rPr>
        <w:t>Using only the resources provided on page two, consider the following hypothetical:</w:t>
      </w:r>
      <w:r>
        <w:rPr>
          <w:rFonts w:ascii="Times New Roman" w:eastAsia="Times New Roman" w:hAnsi="Times New Roman" w:cs="Times New Roman"/>
          <w:sz w:val="23"/>
          <w:szCs w:val="23"/>
        </w:rPr>
        <w:br/>
        <w:t xml:space="preserve"> </w:t>
      </w:r>
    </w:p>
    <w:p w:rsidR="00AC2B48" w:rsidRDefault="00000000">
      <w:pPr>
        <w:pStyle w:val="Body"/>
        <w:rPr>
          <w:rFonts w:ascii="Times New Roman" w:eastAsia="Times New Roman" w:hAnsi="Times New Roman" w:cs="Times New Roman"/>
          <w:sz w:val="23"/>
          <w:szCs w:val="23"/>
          <w:u w:color="000000"/>
        </w:rPr>
      </w:pPr>
      <w:r>
        <w:rPr>
          <w:rFonts w:ascii="Times New Roman" w:hAnsi="Times New Roman"/>
          <w:sz w:val="23"/>
          <w:szCs w:val="23"/>
          <w:u w:color="000000"/>
        </w:rPr>
        <w:t xml:space="preserve">Following a military coup in 2021, </w:t>
      </w:r>
      <w:r>
        <w:rPr>
          <w:rFonts w:ascii="Times New Roman" w:hAnsi="Times New Roman"/>
          <w:sz w:val="23"/>
          <w:szCs w:val="23"/>
          <w:u w:color="000000"/>
          <w:lang w:val="es-ES_tradnl"/>
        </w:rPr>
        <w:t xml:space="preserve">Min </w:t>
      </w:r>
      <w:proofErr w:type="spellStart"/>
      <w:r>
        <w:rPr>
          <w:rFonts w:ascii="Times New Roman" w:hAnsi="Times New Roman"/>
          <w:sz w:val="23"/>
          <w:szCs w:val="23"/>
          <w:u w:color="000000"/>
          <w:lang w:val="es-ES_tradnl"/>
        </w:rPr>
        <w:t>Aung</w:t>
      </w:r>
      <w:proofErr w:type="spellEnd"/>
      <w:r>
        <w:rPr>
          <w:rFonts w:ascii="Times New Roman" w:hAnsi="Times New Roman"/>
          <w:sz w:val="23"/>
          <w:szCs w:val="23"/>
          <w:u w:color="000000"/>
          <w:lang w:val="es-ES_tradnl"/>
        </w:rPr>
        <w:t xml:space="preserve"> </w:t>
      </w:r>
      <w:proofErr w:type="spellStart"/>
      <w:r>
        <w:rPr>
          <w:rFonts w:ascii="Times New Roman" w:hAnsi="Times New Roman"/>
          <w:sz w:val="23"/>
          <w:szCs w:val="23"/>
          <w:u w:color="000000"/>
          <w:lang w:val="es-ES_tradnl"/>
        </w:rPr>
        <w:t>Hlaing</w:t>
      </w:r>
      <w:proofErr w:type="spellEnd"/>
      <w:r>
        <w:rPr>
          <w:rFonts w:ascii="Times New Roman" w:hAnsi="Times New Roman"/>
          <w:sz w:val="23"/>
          <w:szCs w:val="23"/>
          <w:u w:color="000000"/>
        </w:rPr>
        <w:t xml:space="preserve"> has served as acting President of Myanmar. In addition to The Gambia’s ICJ case regarding allegations of Genocide against Rohingya Muslims, he has been accused of torturing political prisoners and a variety of other human rights violations.</w:t>
      </w:r>
      <w:r>
        <w:rPr>
          <w:rFonts w:ascii="Times New Roman" w:eastAsia="Times New Roman" w:hAnsi="Times New Roman" w:cs="Times New Roman"/>
          <w:sz w:val="23"/>
          <w:szCs w:val="23"/>
          <w:u w:color="000000"/>
          <w:vertAlign w:val="superscript"/>
        </w:rPr>
        <w:footnoteReference w:id="2"/>
      </w:r>
      <w:r>
        <w:rPr>
          <w:rFonts w:ascii="Times New Roman" w:hAnsi="Times New Roman"/>
          <w:sz w:val="23"/>
          <w:szCs w:val="23"/>
          <w:u w:color="000000"/>
        </w:rPr>
        <w:t xml:space="preserve"> Assume for this question that Min Aung Hlaing is deposed and flees to China or India - countries who abstained from the recent UN Security Council measure on the issue and who still maintain a reservation to Article IX of the Genocide Convention related to compulsory jurisdiction for the ICJ for any disputes arising under the Convention. Two countries, one receiving a significant amount of Rohingya refugees (lets called them </w:t>
      </w:r>
      <w:proofErr w:type="spellStart"/>
      <w:r>
        <w:rPr>
          <w:rFonts w:ascii="Times New Roman" w:hAnsi="Times New Roman"/>
          <w:sz w:val="23"/>
          <w:szCs w:val="23"/>
          <w:u w:color="000000"/>
        </w:rPr>
        <w:t>Burkey</w:t>
      </w:r>
      <w:proofErr w:type="spellEnd"/>
      <w:r>
        <w:rPr>
          <w:rFonts w:ascii="Times New Roman" w:hAnsi="Times New Roman"/>
          <w:sz w:val="23"/>
          <w:szCs w:val="23"/>
          <w:u w:color="000000"/>
        </w:rPr>
        <w:t>) and one without any refugees (</w:t>
      </w:r>
      <w:proofErr w:type="spellStart"/>
      <w:r>
        <w:rPr>
          <w:rFonts w:ascii="Times New Roman" w:hAnsi="Times New Roman"/>
          <w:sz w:val="23"/>
          <w:szCs w:val="23"/>
          <w:u w:color="000000"/>
        </w:rPr>
        <w:t>lets</w:t>
      </w:r>
      <w:proofErr w:type="spellEnd"/>
      <w:r>
        <w:rPr>
          <w:rFonts w:ascii="Times New Roman" w:hAnsi="Times New Roman"/>
          <w:sz w:val="23"/>
          <w:szCs w:val="23"/>
          <w:u w:color="000000"/>
        </w:rPr>
        <w:t xml:space="preserve"> call them </w:t>
      </w:r>
      <w:proofErr w:type="spellStart"/>
      <w:r>
        <w:rPr>
          <w:rFonts w:ascii="Times New Roman" w:hAnsi="Times New Roman"/>
          <w:sz w:val="23"/>
          <w:szCs w:val="23"/>
          <w:u w:color="000000"/>
        </w:rPr>
        <w:t>Telgium</w:t>
      </w:r>
      <w:proofErr w:type="spellEnd"/>
      <w:r>
        <w:rPr>
          <w:rFonts w:ascii="Times New Roman" w:hAnsi="Times New Roman"/>
          <w:sz w:val="23"/>
          <w:szCs w:val="23"/>
          <w:u w:color="000000"/>
        </w:rPr>
        <w:t xml:space="preserve">), each begin domestic national cases against Min Aung Hlaing charging him with international law crimes. They each request the country he resides in to prosecute or extradite him. That country (India or China) refuse to extradite, citing the lack of a requirement under the Genocide Convention or customary international law, and they promise to </w:t>
      </w:r>
      <w:proofErr w:type="gramStart"/>
      <w:r>
        <w:rPr>
          <w:rFonts w:ascii="Times New Roman" w:hAnsi="Times New Roman"/>
          <w:sz w:val="23"/>
          <w:szCs w:val="23"/>
          <w:u w:color="000000"/>
        </w:rPr>
        <w:t>open up</w:t>
      </w:r>
      <w:proofErr w:type="gramEnd"/>
      <w:r>
        <w:rPr>
          <w:rFonts w:ascii="Times New Roman" w:hAnsi="Times New Roman"/>
          <w:sz w:val="23"/>
          <w:szCs w:val="23"/>
          <w:u w:color="000000"/>
        </w:rPr>
        <w:t xml:space="preserve"> an investigation. Several months after the investigation goes nowhere, the two countries (</w:t>
      </w:r>
      <w:proofErr w:type="spellStart"/>
      <w:r>
        <w:rPr>
          <w:rFonts w:ascii="Times New Roman" w:hAnsi="Times New Roman"/>
          <w:sz w:val="23"/>
          <w:szCs w:val="23"/>
          <w:u w:color="000000"/>
        </w:rPr>
        <w:t>Burkey</w:t>
      </w:r>
      <w:proofErr w:type="spellEnd"/>
      <w:r>
        <w:rPr>
          <w:rFonts w:ascii="Times New Roman" w:hAnsi="Times New Roman"/>
          <w:sz w:val="23"/>
          <w:szCs w:val="23"/>
          <w:u w:color="000000"/>
        </w:rPr>
        <w:t xml:space="preserve"> and </w:t>
      </w:r>
      <w:proofErr w:type="spellStart"/>
      <w:r>
        <w:rPr>
          <w:rFonts w:ascii="Times New Roman" w:hAnsi="Times New Roman"/>
          <w:sz w:val="23"/>
          <w:szCs w:val="23"/>
          <w:u w:color="000000"/>
        </w:rPr>
        <w:t>Telgium</w:t>
      </w:r>
      <w:proofErr w:type="spellEnd"/>
      <w:r>
        <w:rPr>
          <w:rFonts w:ascii="Times New Roman" w:hAnsi="Times New Roman"/>
          <w:sz w:val="23"/>
          <w:szCs w:val="23"/>
          <w:u w:color="000000"/>
        </w:rPr>
        <w:t xml:space="preserve">) come to you seeking an explanation of their options under universal jurisdiction to prosecute or extradite. </w:t>
      </w:r>
    </w:p>
    <w:p w:rsidR="00AC2B48" w:rsidRDefault="00AC2B48">
      <w:pPr>
        <w:pStyle w:val="Body"/>
        <w:rPr>
          <w:rFonts w:ascii="Times New Roman" w:eastAsia="Times New Roman" w:hAnsi="Times New Roman" w:cs="Times New Roman"/>
          <w:sz w:val="23"/>
          <w:szCs w:val="23"/>
          <w:u w:color="000000"/>
        </w:rPr>
      </w:pPr>
    </w:p>
    <w:p w:rsidR="00AC2B48" w:rsidRDefault="00000000">
      <w:pPr>
        <w:pStyle w:val="Body"/>
        <w:rPr>
          <w:rFonts w:ascii="Times New Roman" w:eastAsia="Times New Roman" w:hAnsi="Times New Roman" w:cs="Times New Roman"/>
          <w:sz w:val="23"/>
          <w:szCs w:val="23"/>
          <w:u w:color="000000"/>
        </w:rPr>
      </w:pPr>
      <w:r>
        <w:rPr>
          <w:rFonts w:ascii="Times New Roman" w:hAnsi="Times New Roman"/>
          <w:sz w:val="23"/>
          <w:szCs w:val="23"/>
          <w:u w:color="000000"/>
        </w:rPr>
        <w:t>Question one (15 marks): Considering that in the Obligation to Prosecute or Extradite Case, Belgium raised the claim that the responsibility to prosecute or extradite these serious international law crimes was part of customary international law but the ICJ did not rule on this question and instead proceeded to determine jurisdiction under the Torture Convention,</w:t>
      </w:r>
      <w:r>
        <w:rPr>
          <w:rFonts w:ascii="Times New Roman" w:eastAsia="Times New Roman" w:hAnsi="Times New Roman" w:cs="Times New Roman"/>
          <w:sz w:val="23"/>
          <w:szCs w:val="23"/>
          <w:u w:color="000000"/>
          <w:vertAlign w:val="superscript"/>
        </w:rPr>
        <w:footnoteReference w:id="3"/>
      </w:r>
      <w:r>
        <w:rPr>
          <w:rFonts w:ascii="Times New Roman" w:hAnsi="Times New Roman"/>
          <w:sz w:val="23"/>
          <w:szCs w:val="23"/>
          <w:u w:color="000000"/>
        </w:rPr>
        <w:t xml:space="preserve"> explain whether or not you believe the obligation to prosecute or extradite for these certain serious international law crimes is part of customary international law. </w:t>
      </w:r>
    </w:p>
    <w:p w:rsidR="00AC2B48" w:rsidRDefault="00000000">
      <w:pPr>
        <w:pStyle w:val="Body"/>
        <w:rPr>
          <w:rFonts w:ascii="Times New Roman" w:eastAsia="Times New Roman" w:hAnsi="Times New Roman" w:cs="Times New Roman"/>
          <w:sz w:val="23"/>
          <w:szCs w:val="23"/>
          <w:u w:color="000000"/>
        </w:rPr>
      </w:pPr>
      <w:r>
        <w:rPr>
          <w:rFonts w:ascii="Times New Roman" w:hAnsi="Times New Roman"/>
          <w:sz w:val="23"/>
          <w:szCs w:val="23"/>
          <w:u w:color="000000"/>
        </w:rPr>
        <w:t xml:space="preserve">   - You may do additional research into order to cite cases related to state practice related to this obligation in order to make your determination is to its status in customary international law. </w:t>
      </w:r>
      <w:r>
        <w:rPr>
          <w:rFonts w:ascii="Times New Roman" w:eastAsia="Times New Roman" w:hAnsi="Times New Roman" w:cs="Times New Roman"/>
          <w:sz w:val="23"/>
          <w:szCs w:val="23"/>
          <w:u w:color="000000"/>
        </w:rPr>
        <w:br/>
      </w:r>
    </w:p>
    <w:p w:rsidR="00AC2B48" w:rsidRDefault="00AC2B48">
      <w:pPr>
        <w:pStyle w:val="Body"/>
        <w:rPr>
          <w:rFonts w:ascii="Times New Roman" w:eastAsia="Times New Roman" w:hAnsi="Times New Roman" w:cs="Times New Roman"/>
          <w:sz w:val="24"/>
          <w:szCs w:val="24"/>
          <w:u w:color="000000"/>
        </w:rPr>
      </w:pPr>
    </w:p>
    <w:p w:rsidR="00AC2B48" w:rsidRDefault="00000000">
      <w:pPr>
        <w:pStyle w:val="Body"/>
        <w:rPr>
          <w:rFonts w:ascii="Times New Roman" w:eastAsia="Times New Roman" w:hAnsi="Times New Roman" w:cs="Times New Roman"/>
          <w:b/>
          <w:bCs/>
          <w:sz w:val="24"/>
          <w:szCs w:val="24"/>
          <w:u w:val="single" w:color="000000"/>
        </w:rPr>
      </w:pPr>
      <w:r>
        <w:rPr>
          <w:rFonts w:ascii="Times New Roman" w:hAnsi="Times New Roman"/>
          <w:b/>
          <w:bCs/>
          <w:sz w:val="24"/>
          <w:szCs w:val="24"/>
          <w:u w:val="single" w:color="000000"/>
        </w:rPr>
        <w:t>Sources:</w:t>
      </w:r>
      <w:r>
        <w:rPr>
          <w:rFonts w:ascii="Times New Roman" w:eastAsia="Times New Roman" w:hAnsi="Times New Roman" w:cs="Times New Roman"/>
          <w:b/>
          <w:bCs/>
          <w:sz w:val="24"/>
          <w:szCs w:val="24"/>
          <w:u w:val="single" w:color="000000"/>
        </w:rPr>
        <w:br/>
      </w:r>
    </w:p>
    <w:p w:rsidR="00AC2B48" w:rsidRDefault="00000000">
      <w:pPr>
        <w:pStyle w:val="Body"/>
        <w:numPr>
          <w:ilvl w:val="0"/>
          <w:numId w:val="2"/>
        </w:numPr>
        <w:rPr>
          <w:rFonts w:ascii="Times New Roman" w:hAnsi="Times New Roman"/>
          <w:sz w:val="24"/>
          <w:szCs w:val="24"/>
        </w:rPr>
      </w:pPr>
      <w:r>
        <w:rPr>
          <w:rFonts w:ascii="Times New Roman" w:hAnsi="Times New Roman"/>
          <w:sz w:val="24"/>
          <w:szCs w:val="24"/>
        </w:rPr>
        <w:t xml:space="preserve">Questions Relating to the Obligation to Prosecute or Extradite (Belgium v. Senegal), Judgment of 20 July, 2012, available at: </w:t>
      </w:r>
      <w:hyperlink r:id="rId7" w:history="1">
        <w:r>
          <w:rPr>
            <w:rStyle w:val="Hyperlink0"/>
            <w:rFonts w:ascii="Times New Roman" w:hAnsi="Times New Roman"/>
            <w:sz w:val="24"/>
            <w:szCs w:val="24"/>
          </w:rPr>
          <w:t>https://www.icj-cij.org/sites/default/files/case-related/144/144-20120720-JUD-01-00-EN.pdf</w:t>
        </w:r>
      </w:hyperlink>
    </w:p>
    <w:p w:rsidR="00AC2B48" w:rsidRDefault="00000000">
      <w:pPr>
        <w:pStyle w:val="Body"/>
        <w:numPr>
          <w:ilvl w:val="1"/>
          <w:numId w:val="2"/>
        </w:numPr>
        <w:rPr>
          <w:rFonts w:ascii="Times New Roman" w:hAnsi="Times New Roman"/>
          <w:sz w:val="24"/>
          <w:szCs w:val="24"/>
        </w:rPr>
      </w:pPr>
      <w:r>
        <w:rPr>
          <w:rFonts w:ascii="Times New Roman" w:hAnsi="Times New Roman"/>
          <w:sz w:val="24"/>
          <w:szCs w:val="24"/>
        </w:rPr>
        <w:t>Any separate opinions, dissents, or declarations from this case</w:t>
      </w:r>
    </w:p>
    <w:p w:rsidR="00AC2B48" w:rsidRDefault="00AC2B48">
      <w:pPr>
        <w:pStyle w:val="Body"/>
        <w:rPr>
          <w:rFonts w:ascii="Times New Roman" w:eastAsia="Times New Roman" w:hAnsi="Times New Roman" w:cs="Times New Roman"/>
          <w:sz w:val="24"/>
          <w:szCs w:val="24"/>
        </w:rPr>
      </w:pPr>
    </w:p>
    <w:p w:rsidR="00AC2B48" w:rsidRDefault="00000000">
      <w:pPr>
        <w:pStyle w:val="Body"/>
        <w:numPr>
          <w:ilvl w:val="0"/>
          <w:numId w:val="2"/>
        </w:numPr>
        <w:rPr>
          <w:rFonts w:ascii="Times New Roman" w:hAnsi="Times New Roman"/>
          <w:sz w:val="24"/>
          <w:szCs w:val="24"/>
        </w:rPr>
      </w:pPr>
      <w:r>
        <w:rPr>
          <w:rFonts w:ascii="Times New Roman" w:hAnsi="Times New Roman"/>
          <w:sz w:val="24"/>
          <w:szCs w:val="24"/>
        </w:rPr>
        <w:t>Application of the Convention on the Prevention and Punishment of the Crime of Genocide (The Gambia v. Myanmar):</w:t>
      </w:r>
    </w:p>
    <w:p w:rsidR="00AC2B48" w:rsidRDefault="00000000">
      <w:pPr>
        <w:pStyle w:val="Body"/>
        <w:numPr>
          <w:ilvl w:val="1"/>
          <w:numId w:val="2"/>
        </w:numPr>
        <w:rPr>
          <w:rFonts w:ascii="Times New Roman" w:hAnsi="Times New Roman"/>
          <w:sz w:val="24"/>
          <w:szCs w:val="24"/>
        </w:rPr>
      </w:pPr>
      <w:r>
        <w:rPr>
          <w:rFonts w:ascii="Times New Roman" w:hAnsi="Times New Roman"/>
          <w:sz w:val="24"/>
          <w:szCs w:val="24"/>
        </w:rPr>
        <w:t xml:space="preserve">Judgment of 22 July, 2022, available at: </w:t>
      </w:r>
      <w:hyperlink r:id="rId8" w:history="1">
        <w:r>
          <w:rPr>
            <w:rStyle w:val="Hyperlink1"/>
            <w:rFonts w:ascii="Times New Roman" w:hAnsi="Times New Roman"/>
            <w:sz w:val="24"/>
            <w:szCs w:val="24"/>
          </w:rPr>
          <w:t>https://www.icj-cij.org/public/files/case-related/178/178-20191211-ORA-01-00-BI.pdf</w:t>
        </w:r>
      </w:hyperlink>
      <w:r>
        <w:rPr>
          <w:rFonts w:ascii="Times New Roman" w:hAnsi="Times New Roman"/>
          <w:sz w:val="24"/>
          <w:szCs w:val="24"/>
        </w:rPr>
        <w:t xml:space="preserve">. </w:t>
      </w:r>
    </w:p>
    <w:p w:rsidR="00AC2B48" w:rsidRDefault="00000000">
      <w:pPr>
        <w:pStyle w:val="Body"/>
        <w:numPr>
          <w:ilvl w:val="2"/>
          <w:numId w:val="2"/>
        </w:numPr>
        <w:rPr>
          <w:rFonts w:ascii="Times New Roman" w:hAnsi="Times New Roman"/>
          <w:sz w:val="24"/>
          <w:szCs w:val="24"/>
        </w:rPr>
      </w:pPr>
      <w:r>
        <w:rPr>
          <w:rFonts w:ascii="Times New Roman" w:hAnsi="Times New Roman"/>
          <w:sz w:val="24"/>
          <w:szCs w:val="24"/>
        </w:rPr>
        <w:t>Dissenting Opinion of Judge Xue, Declaration of Judge ad hoc Kress</w:t>
      </w:r>
    </w:p>
    <w:p w:rsidR="00AC2B48" w:rsidRDefault="00000000">
      <w:pPr>
        <w:pStyle w:val="Body"/>
        <w:numPr>
          <w:ilvl w:val="1"/>
          <w:numId w:val="2"/>
        </w:numPr>
        <w:rPr>
          <w:rFonts w:ascii="Times New Roman" w:hAnsi="Times New Roman"/>
          <w:sz w:val="24"/>
          <w:szCs w:val="24"/>
        </w:rPr>
      </w:pPr>
      <w:r>
        <w:rPr>
          <w:rFonts w:ascii="Times New Roman" w:hAnsi="Times New Roman"/>
          <w:sz w:val="24"/>
          <w:szCs w:val="24"/>
        </w:rPr>
        <w:lastRenderedPageBreak/>
        <w:t xml:space="preserve">Order of 23 January 2020, available at: </w:t>
      </w:r>
      <w:hyperlink r:id="rId9" w:history="1">
        <w:r>
          <w:rPr>
            <w:rStyle w:val="Hyperlink0"/>
            <w:rFonts w:ascii="Times New Roman" w:hAnsi="Times New Roman"/>
            <w:sz w:val="24"/>
            <w:szCs w:val="24"/>
          </w:rPr>
          <w:t>https://www.icj-cij.org/sites/default/files/case-related/178/178-20200123-ORD-01-00-EN.pdf</w:t>
        </w:r>
      </w:hyperlink>
    </w:p>
    <w:p w:rsidR="00AC2B48" w:rsidRDefault="00000000">
      <w:pPr>
        <w:pStyle w:val="Body"/>
        <w:numPr>
          <w:ilvl w:val="2"/>
          <w:numId w:val="2"/>
        </w:numPr>
        <w:rPr>
          <w:rFonts w:ascii="Times New Roman" w:hAnsi="Times New Roman"/>
          <w:sz w:val="24"/>
          <w:szCs w:val="24"/>
        </w:rPr>
      </w:pPr>
      <w:r>
        <w:rPr>
          <w:rFonts w:ascii="Times New Roman" w:hAnsi="Times New Roman"/>
          <w:sz w:val="24"/>
          <w:szCs w:val="24"/>
        </w:rPr>
        <w:t xml:space="preserve">Separate opinions of Vice-President Xue, Judge </w:t>
      </w:r>
      <w:proofErr w:type="spellStart"/>
      <w:r>
        <w:rPr>
          <w:rFonts w:ascii="Times New Roman" w:hAnsi="Times New Roman"/>
          <w:sz w:val="24"/>
          <w:szCs w:val="24"/>
        </w:rPr>
        <w:t>Cancado</w:t>
      </w:r>
      <w:proofErr w:type="spellEnd"/>
      <w:r>
        <w:rPr>
          <w:rFonts w:ascii="Times New Roman" w:hAnsi="Times New Roman"/>
          <w:sz w:val="24"/>
          <w:szCs w:val="24"/>
        </w:rPr>
        <w:t xml:space="preserve"> Trindade, Declaration of Judge ad hoc Kress</w:t>
      </w:r>
      <w:r>
        <w:rPr>
          <w:rFonts w:ascii="Times New Roman" w:eastAsia="Times New Roman" w:hAnsi="Times New Roman" w:cs="Times New Roman"/>
          <w:sz w:val="24"/>
          <w:szCs w:val="24"/>
        </w:rPr>
        <w:br/>
      </w:r>
    </w:p>
    <w:p w:rsidR="00AC2B48" w:rsidRDefault="00000000">
      <w:pPr>
        <w:pStyle w:val="Body"/>
        <w:numPr>
          <w:ilvl w:val="0"/>
          <w:numId w:val="2"/>
        </w:numPr>
        <w:rPr>
          <w:rFonts w:ascii="Times New Roman" w:hAnsi="Times New Roman"/>
          <w:sz w:val="24"/>
          <w:szCs w:val="24"/>
        </w:rPr>
      </w:pPr>
      <w:r>
        <w:rPr>
          <w:rFonts w:ascii="Times New Roman" w:hAnsi="Times New Roman"/>
          <w:sz w:val="24"/>
          <w:szCs w:val="24"/>
        </w:rPr>
        <w:t xml:space="preserve">The Convention against Torture and Other Cruel, Inhuman or Degrading Treatment or Punishment, available at: </w:t>
      </w:r>
      <w:hyperlink r:id="rId10" w:history="1">
        <w:r>
          <w:rPr>
            <w:rStyle w:val="Hyperlink0"/>
            <w:rFonts w:ascii="Times New Roman" w:hAnsi="Times New Roman"/>
            <w:sz w:val="24"/>
            <w:szCs w:val="24"/>
          </w:rPr>
          <w:t>https://www.ohchr.org/en/instruments-mechanisms/instruments/convention-against-torture-and-other-cruel-inhuman-or-degrading</w:t>
        </w:r>
      </w:hyperlink>
      <w:r>
        <w:rPr>
          <w:rFonts w:ascii="Times New Roman" w:eastAsia="Times New Roman" w:hAnsi="Times New Roman" w:cs="Times New Roman"/>
          <w:sz w:val="24"/>
          <w:szCs w:val="24"/>
        </w:rPr>
        <w:br/>
      </w:r>
    </w:p>
    <w:p w:rsidR="00AC2B48" w:rsidRDefault="00000000">
      <w:pPr>
        <w:pStyle w:val="Body"/>
        <w:numPr>
          <w:ilvl w:val="0"/>
          <w:numId w:val="2"/>
        </w:numPr>
        <w:rPr>
          <w:rFonts w:ascii="Times New Roman" w:hAnsi="Times New Roman"/>
          <w:sz w:val="24"/>
          <w:szCs w:val="24"/>
        </w:rPr>
      </w:pPr>
      <w:r>
        <w:rPr>
          <w:rFonts w:ascii="Times New Roman" w:hAnsi="Times New Roman"/>
          <w:sz w:val="24"/>
          <w:szCs w:val="24"/>
        </w:rPr>
        <w:t xml:space="preserve">Convention on the Prevention and Punishment of the Crime of Genocide, 1948, available at: </w:t>
      </w:r>
      <w:hyperlink r:id="rId11" w:history="1">
        <w:r>
          <w:rPr>
            <w:rStyle w:val="Hyperlink0"/>
            <w:rFonts w:ascii="Times New Roman" w:hAnsi="Times New Roman"/>
            <w:sz w:val="24"/>
            <w:szCs w:val="24"/>
          </w:rPr>
          <w:t>https://www.ohchr.org/en/instruments-mechanisms/instruments/convention-prevention-and-punishment-crime-genocide</w:t>
        </w:r>
      </w:hyperlink>
      <w:r>
        <w:rPr>
          <w:rFonts w:ascii="Times New Roman" w:hAnsi="Times New Roman"/>
          <w:sz w:val="24"/>
          <w:szCs w:val="24"/>
        </w:rPr>
        <w:t xml:space="preserve"> </w:t>
      </w:r>
      <w:r>
        <w:rPr>
          <w:rFonts w:ascii="Times New Roman" w:hAnsi="Times New Roman"/>
          <w:sz w:val="24"/>
          <w:szCs w:val="24"/>
        </w:rPr>
        <w:br/>
      </w:r>
    </w:p>
    <w:p w:rsidR="00AC2B48" w:rsidRDefault="00000000">
      <w:pPr>
        <w:pStyle w:val="Body"/>
        <w:numPr>
          <w:ilvl w:val="0"/>
          <w:numId w:val="2"/>
        </w:numPr>
        <w:rPr>
          <w:rFonts w:ascii="Times New Roman" w:hAnsi="Times New Roman"/>
          <w:sz w:val="24"/>
          <w:szCs w:val="24"/>
        </w:rPr>
      </w:pPr>
      <w:r>
        <w:rPr>
          <w:rFonts w:ascii="Times New Roman" w:hAnsi="Times New Roman"/>
          <w:sz w:val="24"/>
          <w:szCs w:val="24"/>
        </w:rPr>
        <w:t xml:space="preserve">The Princeton Principles on Universal Jurisdiction, 2001, available at: </w:t>
      </w:r>
      <w:hyperlink r:id="rId12" w:history="1">
        <w:r>
          <w:rPr>
            <w:rStyle w:val="Hyperlink0"/>
            <w:rFonts w:ascii="Times New Roman" w:hAnsi="Times New Roman"/>
            <w:sz w:val="24"/>
            <w:szCs w:val="24"/>
          </w:rPr>
          <w:t>https://lapa.princeton.edu/hosteddocs/unive_jur.pdf</w:t>
        </w:r>
      </w:hyperlink>
      <w:r>
        <w:rPr>
          <w:rFonts w:ascii="Times New Roman" w:eastAsia="Times New Roman" w:hAnsi="Times New Roman" w:cs="Times New Roman"/>
          <w:sz w:val="24"/>
          <w:szCs w:val="24"/>
        </w:rPr>
        <w:br/>
      </w:r>
    </w:p>
    <w:p w:rsidR="00AC2B48" w:rsidRDefault="00000000">
      <w:pPr>
        <w:pStyle w:val="Body"/>
        <w:numPr>
          <w:ilvl w:val="0"/>
          <w:numId w:val="2"/>
        </w:numPr>
        <w:rPr>
          <w:rFonts w:ascii="Times New Roman" w:hAnsi="Times New Roman"/>
          <w:sz w:val="24"/>
          <w:szCs w:val="24"/>
        </w:rPr>
      </w:pPr>
      <w:r>
        <w:rPr>
          <w:rFonts w:ascii="Times New Roman" w:hAnsi="Times New Roman"/>
          <w:sz w:val="24"/>
          <w:szCs w:val="24"/>
        </w:rPr>
        <w:t xml:space="preserve">International Law Commission, 2014 Final Report on The Obligation to Extradite or Prosecute, available at: </w:t>
      </w:r>
      <w:hyperlink r:id="rId13" w:history="1">
        <w:r>
          <w:rPr>
            <w:rStyle w:val="Hyperlink0"/>
            <w:rFonts w:ascii="Times New Roman" w:hAnsi="Times New Roman"/>
            <w:sz w:val="24"/>
            <w:szCs w:val="24"/>
          </w:rPr>
          <w:t>https://legal.un.org/ilc/texts/instruments/english/reports/7_6_2014.pdf</w:t>
        </w:r>
      </w:hyperlink>
      <w:r>
        <w:rPr>
          <w:rFonts w:ascii="Times New Roman" w:hAnsi="Times New Roman"/>
          <w:sz w:val="24"/>
          <w:szCs w:val="24"/>
        </w:rPr>
        <w:t xml:space="preserve"> </w:t>
      </w:r>
    </w:p>
    <w:sectPr w:rsidR="00AC2B48">
      <w:headerReference w:type="default" r:id="rId14"/>
      <w:footerReference w:type="default" r:id="rId1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625F" w:rsidRDefault="007B625F">
      <w:r>
        <w:separator/>
      </w:r>
    </w:p>
  </w:endnote>
  <w:endnote w:type="continuationSeparator" w:id="0">
    <w:p w:rsidR="007B625F" w:rsidRDefault="007B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B48" w:rsidRDefault="00AC2B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625F" w:rsidRDefault="007B625F">
      <w:r>
        <w:separator/>
      </w:r>
    </w:p>
  </w:footnote>
  <w:footnote w:type="continuationSeparator" w:id="0">
    <w:p w:rsidR="007B625F" w:rsidRDefault="007B625F">
      <w:r>
        <w:continuationSeparator/>
      </w:r>
    </w:p>
  </w:footnote>
  <w:footnote w:type="continuationNotice" w:id="1">
    <w:p w:rsidR="007B625F" w:rsidRDefault="007B625F"/>
  </w:footnote>
  <w:footnote w:id="2">
    <w:p w:rsidR="00AC2B48" w:rsidRDefault="00000000">
      <w:pPr>
        <w:pStyle w:val="Footnote"/>
        <w:spacing w:line="192" w:lineRule="auto"/>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lang w:val="en-US"/>
        </w:rPr>
        <w:t>Amnesty International, Myanmar 2022, available at: https://www.amnesty.org/en/location/asia-and-the-pacific/south-east-asia-and-the-pacific/myanmar/report-myanmar/</w:t>
      </w:r>
    </w:p>
  </w:footnote>
  <w:footnote w:id="3">
    <w:p w:rsidR="00AC2B48" w:rsidRDefault="00000000">
      <w:pPr>
        <w:pStyle w:val="Footnote"/>
        <w:spacing w:line="192" w:lineRule="auto"/>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lang w:val="en-US"/>
        </w:rPr>
        <w:t xml:space="preserve">Questions Relating to the Obligation to Prosecute or Extradite (Belgium v. Senegal), Judgment of 20 July, 2012, paragraphs 53-55, available at: </w:t>
      </w:r>
      <w:hyperlink r:id="rId1" w:history="1">
        <w:r>
          <w:rPr>
            <w:rStyle w:val="Hyperlink0"/>
            <w:rFonts w:ascii="Times New Roman" w:hAnsi="Times New Roman"/>
            <w:sz w:val="20"/>
            <w:szCs w:val="20"/>
            <w:lang w:val="en-US"/>
          </w:rPr>
          <w:t>https://www.icj-cij.org/sites/default/files/case-related/144/144-20120720-JUD-01-00-EN.pdf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B48" w:rsidRDefault="00AC2B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32070"/>
    <w:multiLevelType w:val="hybridMultilevel"/>
    <w:tmpl w:val="D646C14E"/>
    <w:numStyleLink w:val="Dash"/>
  </w:abstractNum>
  <w:abstractNum w:abstractNumId="1" w15:restartNumberingAfterBreak="0">
    <w:nsid w:val="43BA768E"/>
    <w:multiLevelType w:val="hybridMultilevel"/>
    <w:tmpl w:val="D646C14E"/>
    <w:styleLink w:val="Dash"/>
    <w:lvl w:ilvl="0" w:tplc="88E2B3AA">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216EE892">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D384F702">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B80E6DF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6F06A53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E2EE8994">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81E6B416">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1EBA22DA">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4DD0B716">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16cid:durableId="1895920197">
    <w:abstractNumId w:val="1"/>
  </w:num>
  <w:num w:numId="2" w16cid:durableId="97707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48"/>
    <w:rsid w:val="007B625F"/>
    <w:rsid w:val="00AC2B48"/>
    <w:rsid w:val="00B62C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74CA"/>
  <w15:docId w15:val="{E4255C52-C5B7-4E6E-84B4-9965254D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Hyperlink1">
    <w:name w:val="Hyperlink.1"/>
    <w:basedOn w:val="Hyperlink0"/>
    <w:rPr>
      <w:outline w:val="0"/>
      <w:color w:val="0563C1"/>
      <w:u w:val="single" w:color="0563C1"/>
      <w:lang w:val="en-US"/>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cj-cij.org/public/files/case-related/178/178-20191211-ORA-01-00-BI.pdf" TargetMode="External"/><Relationship Id="rId13" Type="http://schemas.openxmlformats.org/officeDocument/2006/relationships/hyperlink" Target="https://legal.un.org/ilc/texts/instruments/english/reports/7_6_2014.pdf" TargetMode="External"/><Relationship Id="rId3" Type="http://schemas.openxmlformats.org/officeDocument/2006/relationships/settings" Target="settings.xml"/><Relationship Id="rId7" Type="http://schemas.openxmlformats.org/officeDocument/2006/relationships/hyperlink" Target="https://www.icj-cij.org/sites/default/files/case-related/144/144-20120720-JUD-01-00-EN.pdf" TargetMode="External"/><Relationship Id="rId12" Type="http://schemas.openxmlformats.org/officeDocument/2006/relationships/hyperlink" Target="https://lapa.princeton.edu/hosteddocs/unive_ju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instruments-mechanisms/instruments/convention-prevention-and-punishment-crime-genoci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hchr.org/en/instruments-mechanisms/instruments/convention-against-torture-and-other-cruel-inhuman-or-degrading" TargetMode="External"/><Relationship Id="rId4" Type="http://schemas.openxmlformats.org/officeDocument/2006/relationships/webSettings" Target="webSettings.xml"/><Relationship Id="rId9" Type="http://schemas.openxmlformats.org/officeDocument/2006/relationships/hyperlink" Target="https://www.icj-cij.org/sites/default/files/case-related/178/178-20200123-ORD-01-00-EN.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cj-cij.org/sites/default/files/case-related/144/144-20120720-JUD-01-00-EN.pdf"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3902</Characters>
  <Application>Microsoft Office Word</Application>
  <DocSecurity>0</DocSecurity>
  <Lines>68</Lines>
  <Paragraphs>22</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Sharma</dc:creator>
  <cp:lastModifiedBy>Alisha  Sharma (20 JGLS)</cp:lastModifiedBy>
  <cp:revision>2</cp:revision>
  <dcterms:created xsi:type="dcterms:W3CDTF">2023-04-23T11:29:00Z</dcterms:created>
  <dcterms:modified xsi:type="dcterms:W3CDTF">2023-04-23T11:29:00Z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1a7e5980aea94d99ea63421aadc1945e23d68da68b2765b3d5dba8c163f3dd78</vt:lpwstr>
  </property>
</Properties>
</file>