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Write a dissertation on the topic: </w:t>
      </w:r>
      <w:r w:rsidDel="00000000" w:rsidR="00000000" w:rsidRPr="00000000">
        <w:rPr>
          <w:sz w:val="24"/>
          <w:szCs w:val="24"/>
          <w:rtl w:val="0"/>
        </w:rPr>
        <w:t xml:space="preserve">“Use of sedition as a tool to quell dissenting voices under the Modi government”</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focus of my dissertation will be on how during the Narendra Modi era from 2014-2022 sedition has been used as a tool to put an end to voices that are non-conformist and anti-establishment. Whether these voices are that of activists, journalists, opposition political leaders or even citizens who raised their concerns against the government.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The chapters will be divided according to different categories of individuals on whom these sedition laws have been slapped to quell their voices. Starting with politicians, opposition parties, activists and then ending with journalists as it is very important for the stream that I have chosen my career in.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Case judgements need to be there and pick Indian court cases of sedition from the year 2014-2022.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The conclusion will mostly prove the hypothesis right. The hypothesis is that the provision of sedition was nothing but a tool to quell the dissenting voices. When the government closely understood the same, the home minister hit a pause button on the colonial law of sedition. Yet this pause cannot be considered a victory because just like the sedition cases, this pause button creates nothing but a pendency without solution.</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