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  <w:t xml:space="preserve">DBB 1201– BUSINESS COMMUNICATION</w:t>
      </w: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  <w:t xml:space="preserve">BACHELOR OF BUSINESS ADMINISTRATION (BBA)</w:t>
      </w: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  <w:t xml:space="preserve">Q.No Assignment Set – 1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20212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  Discuss the importance of effective business communication at workplace. What is the role of the formal and informal channels of communication in building up a good communication network.</w:t>
      </w:r>
    </w:p>
    <w:p>
      <w:pPr>
        <w:spacing w:before="100" w:after="1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EFEFE" w:val="clear"/>
        </w:rPr>
        <w:t xml:space="preserve">2.   Premature evaluations and hurried conclusion distort listening. Discuss in detail and write the solution for the same.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202124"/>
          <w:spacing w:val="0"/>
          <w:position w:val="0"/>
          <w:sz w:val="24"/>
          <w:shd w:fill="FFFFFF" w:val="clear"/>
        </w:rPr>
      </w:pP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  How does general writing differ from business writing, in terms of language, style and tone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  <w:t xml:space="preserve">Assignment Set – 2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  Illustrate the five steps of SQ3R techniques of reading. 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  Explain the principles of writing a business letter. Write a note on types of business letter.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  Highlight the specific objectives of corporate advertising. Explain the different types of corporate advertising.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