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85A5" w14:textId="536C81B0" w:rsidR="003F7127" w:rsidRDefault="0088235D" w:rsidP="00F86FB0">
      <w:pPr>
        <w:spacing w:before="120" w:after="240"/>
        <w:rPr>
          <w:rFonts w:asciiTheme="minorHAnsi" w:eastAsiaTheme="minorEastAsia" w:hAnsiTheme="minorHAnsi" w:cstheme="minorHAnsi"/>
          <w:b/>
          <w:color w:val="000000" w:themeColor="text1"/>
          <w:szCs w:val="32"/>
          <w:lang w:val="en-AU" w:eastAsia="zh-CN"/>
        </w:rPr>
      </w:pPr>
      <w:r w:rsidRPr="0088235D">
        <w:rPr>
          <w:rFonts w:asciiTheme="minorHAnsi" w:hAnsiTheme="minorHAnsi" w:cstheme="minorHAnsi"/>
          <w:bCs/>
          <w:color w:val="000000" w:themeColor="text1"/>
          <w:szCs w:val="32"/>
        </w:rPr>
        <w:t>[</w:t>
      </w:r>
      <w:r w:rsidR="003F7127" w:rsidRPr="0088235D">
        <w:rPr>
          <w:rFonts w:asciiTheme="minorHAnsi" w:hAnsiTheme="minorHAnsi" w:cstheme="minorHAnsi"/>
          <w:bCs/>
          <w:color w:val="000000" w:themeColor="text1"/>
          <w:szCs w:val="32"/>
        </w:rPr>
        <w:t>Assessment #2</w:t>
      </w:r>
      <w:r w:rsidRPr="0088235D">
        <w:rPr>
          <w:rFonts w:asciiTheme="minorHAnsi" w:hAnsiTheme="minorHAnsi" w:cstheme="minorHAnsi"/>
          <w:bCs/>
          <w:color w:val="000000" w:themeColor="text1"/>
          <w:szCs w:val="32"/>
        </w:rPr>
        <w:t>]</w:t>
      </w:r>
      <w:r w:rsidRPr="0088235D">
        <w:rPr>
          <w:rFonts w:asciiTheme="minorHAnsi" w:hAnsiTheme="minorHAnsi" w:cstheme="minorHAnsi"/>
          <w:b/>
          <w:color w:val="000000" w:themeColor="text1"/>
          <w:szCs w:val="32"/>
        </w:rPr>
        <w:t xml:space="preserve"> </w:t>
      </w:r>
      <w:r w:rsidR="00FE3BEC">
        <w:rPr>
          <w:rFonts w:asciiTheme="minorHAnsi" w:eastAsiaTheme="minorEastAsia" w:hAnsiTheme="minorHAnsi" w:cstheme="minorHAnsi"/>
          <w:b/>
          <w:color w:val="000000" w:themeColor="text1"/>
          <w:szCs w:val="32"/>
          <w:lang w:eastAsia="zh-CN"/>
        </w:rPr>
        <w:t xml:space="preserve">Case study: </w:t>
      </w:r>
      <w:r w:rsidR="00452FF8" w:rsidRPr="00452FF8">
        <w:rPr>
          <w:rFonts w:asciiTheme="minorHAnsi" w:eastAsiaTheme="minorEastAsia" w:hAnsiTheme="minorHAnsi" w:cstheme="minorHAnsi"/>
          <w:b/>
          <w:color w:val="000000" w:themeColor="text1"/>
          <w:szCs w:val="32"/>
          <w:lang w:eastAsia="zh-CN"/>
        </w:rPr>
        <w:t xml:space="preserve">Operating an eco-lodge with competitive advantages </w:t>
      </w:r>
      <w:r w:rsidR="003F7127">
        <w:rPr>
          <w:rFonts w:asciiTheme="minorHAnsi" w:eastAsiaTheme="minorEastAsia" w:hAnsiTheme="minorHAnsi" w:cstheme="minorHAnsi"/>
          <w:b/>
          <w:color w:val="000000" w:themeColor="text1"/>
          <w:szCs w:val="32"/>
          <w:lang w:val="en-AU" w:eastAsia="zh-CN"/>
        </w:rPr>
        <w:t>(55%)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8469"/>
      </w:tblGrid>
      <w:tr w:rsidR="003F7127" w:rsidRPr="00E9217F" w14:paraId="407BD6E5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726D8B9B" w14:textId="77777777" w:rsidR="003F7127" w:rsidRPr="00E9217F" w:rsidRDefault="003F7127" w:rsidP="00ED4806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17F">
              <w:rPr>
                <w:rFonts w:asciiTheme="minorHAnsi" w:hAnsiTheme="minorHAnsi" w:cstheme="minorHAnsi"/>
                <w:b/>
                <w:sz w:val="22"/>
                <w:szCs w:val="22"/>
              </w:rPr>
              <w:t>Mode</w:t>
            </w:r>
          </w:p>
        </w:tc>
        <w:tc>
          <w:tcPr>
            <w:tcW w:w="8469" w:type="dxa"/>
            <w:shd w:val="clear" w:color="auto" w:fill="auto"/>
          </w:tcPr>
          <w:p w14:paraId="6F919E89" w14:textId="77777777" w:rsidR="003F7127" w:rsidRPr="00E9217F" w:rsidRDefault="003F7127" w:rsidP="00ED4806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 Report </w:t>
            </w:r>
            <w:r w:rsidRPr="00E9217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4,000</w:t>
            </w:r>
            <w:r w:rsidRPr="00E9217F">
              <w:rPr>
                <w:rFonts w:asciiTheme="minorHAnsi" w:hAnsiTheme="minorHAnsi" w:cstheme="minorHAnsi"/>
                <w:sz w:val="22"/>
                <w:szCs w:val="22"/>
              </w:rPr>
              <w:t xml:space="preserve">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one page handout</w:t>
            </w:r>
          </w:p>
        </w:tc>
      </w:tr>
      <w:tr w:rsidR="003F7127" w:rsidRPr="00E9217F" w14:paraId="313454E7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69EFE309" w14:textId="5A1F4597" w:rsidR="003F7127" w:rsidRPr="00E9217F" w:rsidRDefault="00BB66E4" w:rsidP="00ED4806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Deadline</w:t>
            </w:r>
          </w:p>
        </w:tc>
        <w:tc>
          <w:tcPr>
            <w:tcW w:w="8469" w:type="dxa"/>
            <w:shd w:val="clear" w:color="auto" w:fill="auto"/>
          </w:tcPr>
          <w:p w14:paraId="32E5B3ED" w14:textId="2646BA08" w:rsidR="003F7127" w:rsidRPr="00E9217F" w:rsidRDefault="00BB66E4" w:rsidP="00ED4806">
            <w:pPr>
              <w:pStyle w:val="Body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 Week 13:</w:t>
            </w:r>
            <w:r w:rsidR="003F7127" w:rsidRPr="00E92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7127" w:rsidRPr="008579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="003F7127" w:rsidRPr="00A377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pm, </w:t>
            </w:r>
            <w:r w:rsidR="003F71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Fri,</w:t>
            </w:r>
            <w:r w:rsidR="003F7127" w:rsidRPr="00A377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3F71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28</w:t>
            </w:r>
            <w:r w:rsidR="003F7127" w:rsidRPr="00F52DA6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3F71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Oct, 2022</w:t>
            </w:r>
          </w:p>
        </w:tc>
      </w:tr>
      <w:tr w:rsidR="003F7127" w:rsidRPr="00801054" w14:paraId="6BEEDD82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3FA9F889" w14:textId="77777777" w:rsidR="003F7127" w:rsidRPr="00E9217F" w:rsidRDefault="003F7127" w:rsidP="00ED4806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 Description</w:t>
            </w:r>
          </w:p>
        </w:tc>
        <w:tc>
          <w:tcPr>
            <w:tcW w:w="8469" w:type="dxa"/>
            <w:shd w:val="clear" w:color="auto" w:fill="auto"/>
          </w:tcPr>
          <w:p w14:paraId="2E9C9562" w14:textId="63C6B0DC" w:rsidR="00EA3427" w:rsidRDefault="00EA3427" w:rsidP="00ED4806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accommodation sector is benefited from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>natural beauty and diversity of landscapes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 xml:space="preserve"> from ancient rainforests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>eritage-listed Great Barrier Reef.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However,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same accommodation sector simultaneously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suffers from 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>extreme weather events and natural disasters like cyclones,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7127" w:rsidRPr="00974EC2">
              <w:rPr>
                <w:rFonts w:asciiTheme="minorHAnsi" w:hAnsiTheme="minorHAnsi" w:cstheme="minorHAnsi"/>
                <w:sz w:val="22"/>
                <w:szCs w:val="22"/>
              </w:rPr>
              <w:t>floods, and bushfires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These natural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disasters incur not only 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environmental threat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but high economic risk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07AEC">
              <w:rPr>
                <w:rFonts w:asciiTheme="minorHAnsi" w:hAnsiTheme="minorHAnsi" w:cstheme="minorHAnsi"/>
                <w:sz w:val="22"/>
                <w:szCs w:val="22"/>
              </w:rPr>
              <w:t>‘Black Summer’ bush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="00807AE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hit 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Binna Burra Lodge on 8</w:t>
            </w:r>
            <w:r w:rsidR="003F7127" w:rsidRPr="003D7C0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Sep 2019</w:t>
            </w:r>
            <w:r w:rsidR="00A33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4C3" w:rsidRPr="00E9217F">
              <w:rPr>
                <w:rFonts w:asciiTheme="minorHAnsi" w:hAnsiTheme="minorHAnsi" w:cstheme="minorHAnsi"/>
                <w:sz w:val="22"/>
                <w:szCs w:val="22"/>
              </w:rPr>
              <w:t>and affect</w:t>
            </w:r>
            <w:r w:rsidR="00A334C3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A334C3" w:rsidRPr="00E9217F">
              <w:rPr>
                <w:rFonts w:asciiTheme="minorHAnsi" w:hAnsiTheme="minorHAnsi" w:cstheme="minorHAnsi"/>
                <w:sz w:val="22"/>
                <w:szCs w:val="22"/>
              </w:rPr>
              <w:t xml:space="preserve"> business viability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, destroying most of the heritage listed buildings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>Cotterell</w:t>
            </w:r>
            <w:proofErr w:type="spellEnd"/>
            <w:r w:rsidR="003F7127" w:rsidRPr="00780297">
              <w:rPr>
                <w:rFonts w:asciiTheme="minorHAnsi" w:hAnsiTheme="minorHAnsi" w:cstheme="minorHAnsi"/>
                <w:sz w:val="22"/>
                <w:szCs w:val="22"/>
              </w:rPr>
              <w:t xml:space="preserve"> &amp; Gardiner, 2019). </w:t>
            </w:r>
            <w:r w:rsidR="0036631F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457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7DEE" w:rsidRPr="00457DE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457DEE" w:rsidRPr="008010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001D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7DEE" w:rsidRPr="00457DEE">
              <w:rPr>
                <w:rFonts w:asciiTheme="minorHAnsi" w:hAnsiTheme="minorHAnsi" w:cstheme="minorHAnsi"/>
                <w:sz w:val="22"/>
                <w:szCs w:val="22"/>
              </w:rPr>
              <w:t>June 2022</w:t>
            </w:r>
            <w:r w:rsidR="00457DE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7DEE" w:rsidRPr="00457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631F" w:rsidRPr="0036631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8" w:history="1">
              <w:r w:rsidR="00FC510B" w:rsidRPr="005654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Queensland</w:t>
              </w:r>
              <w:r w:rsidR="0036631F" w:rsidRPr="005654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Government</w:t>
              </w:r>
            </w:hyperlink>
            <w:r w:rsidR="0036631F" w:rsidRPr="0036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6403">
              <w:rPr>
                <w:rFonts w:asciiTheme="minorHAnsi" w:hAnsiTheme="minorHAnsi" w:cstheme="minorHAnsi"/>
                <w:sz w:val="22"/>
                <w:szCs w:val="22"/>
              </w:rPr>
              <w:t xml:space="preserve">announced that it </w:t>
            </w:r>
            <w:r w:rsidR="0036631F" w:rsidRPr="0036631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C510B">
              <w:rPr>
                <w:rFonts w:asciiTheme="minorHAnsi" w:hAnsiTheme="minorHAnsi" w:cstheme="minorHAnsi"/>
                <w:sz w:val="22"/>
                <w:szCs w:val="22"/>
              </w:rPr>
              <w:t>ill</w:t>
            </w:r>
            <w:r w:rsidR="0036631F" w:rsidRPr="0036631F">
              <w:rPr>
                <w:rFonts w:asciiTheme="minorHAnsi" w:hAnsiTheme="minorHAnsi" w:cstheme="minorHAnsi"/>
                <w:sz w:val="22"/>
                <w:szCs w:val="22"/>
              </w:rPr>
              <w:t xml:space="preserve"> provide funding support of $18 million to rebuild </w:t>
            </w:r>
            <w:r w:rsidR="00C71378" w:rsidRPr="00C71378">
              <w:rPr>
                <w:rFonts w:asciiTheme="minorHAnsi" w:hAnsiTheme="minorHAnsi" w:cstheme="minorHAnsi"/>
                <w:sz w:val="22"/>
                <w:szCs w:val="22"/>
              </w:rPr>
              <w:t>the historic, heritage listed Binna Burra Lodge and cabins</w:t>
            </w:r>
            <w:r w:rsidR="0036631F" w:rsidRPr="003663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13A8E5" w14:textId="7FA313E6" w:rsidR="003F7127" w:rsidRPr="009C0E5D" w:rsidRDefault="00D01275" w:rsidP="00ED4806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EA3427">
              <w:rPr>
                <w:rFonts w:asciiTheme="minorHAnsi" w:hAnsiTheme="minorHAnsi" w:cstheme="minorHAnsi"/>
                <w:sz w:val="22"/>
                <w:szCs w:val="22"/>
              </w:rPr>
              <w:t xml:space="preserve">ou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are required to write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 industry case </w:t>
            </w:r>
            <w:r w:rsidR="00325CEC">
              <w:rPr>
                <w:rFonts w:asciiTheme="minorHAnsi" w:hAnsiTheme="minorHAnsi" w:cstheme="minorHAnsi"/>
                <w:sz w:val="22"/>
                <w:szCs w:val="22"/>
              </w:rPr>
              <w:t xml:space="preserve">study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Binna Burra Lodge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10AF">
              <w:rPr>
                <w:rFonts w:asciiTheme="minorHAnsi" w:hAnsiTheme="minorHAnsi" w:cstheme="minorHAnsi"/>
                <w:sz w:val="22"/>
                <w:szCs w:val="22"/>
              </w:rPr>
              <w:t>about</w:t>
            </w:r>
            <w:r w:rsidR="00B73620">
              <w:rPr>
                <w:rFonts w:asciiTheme="minorHAnsi" w:hAnsiTheme="minorHAnsi" w:cstheme="minorHAnsi"/>
                <w:sz w:val="22"/>
                <w:szCs w:val="22"/>
              </w:rPr>
              <w:t xml:space="preserve"> its</w:t>
            </w:r>
            <w:r w:rsidR="00DE10AF">
              <w:rPr>
                <w:rFonts w:asciiTheme="minorHAnsi" w:hAnsiTheme="minorHAnsi" w:cstheme="minorHAnsi"/>
                <w:sz w:val="22"/>
                <w:szCs w:val="22"/>
              </w:rPr>
              <w:t xml:space="preserve"> post-disaster </w:t>
            </w:r>
            <w:r w:rsidR="00CF1C51">
              <w:rPr>
                <w:rFonts w:asciiTheme="minorHAnsi" w:hAnsiTheme="minorHAnsi" w:cstheme="minorHAnsi"/>
                <w:sz w:val="22"/>
                <w:szCs w:val="22"/>
              </w:rPr>
              <w:t>capability building from the operational perspective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F7127" w:rsidRPr="00772610">
              <w:rPr>
                <w:rFonts w:asciiTheme="minorHAnsi" w:hAnsiTheme="minorHAnsi" w:cstheme="minorHAnsi"/>
                <w:sz w:val="22"/>
                <w:szCs w:val="22"/>
              </w:rPr>
              <w:t>Several research tasks of this assessment include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C433DD1" w14:textId="57F26D15" w:rsidR="003F7127" w:rsidRPr="00387B34" w:rsidRDefault="00103F12" w:rsidP="00ED4806">
            <w:pPr>
              <w:pStyle w:val="NormalWeb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>Binna Burra Lodge. D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>escribe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 xml:space="preserve"> its location, source market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after the bushfires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A2673">
              <w:rPr>
                <w:rFonts w:asciiTheme="minorHAnsi" w:hAnsiTheme="minorHAnsi" w:cstheme="minorHAnsi"/>
                <w:sz w:val="22"/>
                <w:szCs w:val="22"/>
              </w:rPr>
              <w:t xml:space="preserve">organisational 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>size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>characteristics,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0188">
              <w:rPr>
                <w:rFonts w:asciiTheme="minorHAnsi" w:hAnsiTheme="minorHAnsi" w:cstheme="minorHAnsi"/>
                <w:sz w:val="22"/>
                <w:szCs w:val="22"/>
              </w:rPr>
              <w:t xml:space="preserve">ownership, </w:t>
            </w:r>
            <w:r w:rsidR="00A60A1B">
              <w:rPr>
                <w:rFonts w:asciiTheme="minorHAnsi" w:hAnsiTheme="minorHAnsi" w:cstheme="minorHAnsi"/>
                <w:sz w:val="22"/>
                <w:szCs w:val="22"/>
              </w:rPr>
              <w:t>organisational structure, the role of each de</w:t>
            </w:r>
            <w:r w:rsidR="00582341">
              <w:rPr>
                <w:rFonts w:asciiTheme="minorHAnsi" w:hAnsiTheme="minorHAnsi" w:cstheme="minorHAnsi"/>
                <w:sz w:val="22"/>
                <w:szCs w:val="22"/>
              </w:rPr>
              <w:t>partment</w:t>
            </w:r>
            <w:r w:rsidR="00286C64">
              <w:rPr>
                <w:rFonts w:asciiTheme="minorHAnsi" w:hAnsiTheme="minorHAnsi" w:cstheme="minorHAnsi"/>
                <w:sz w:val="22"/>
                <w:szCs w:val="22"/>
              </w:rPr>
              <w:t xml:space="preserve"> (in-house vs outsourcing)</w:t>
            </w:r>
            <w:r w:rsidR="005823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2049A">
              <w:rPr>
                <w:rFonts w:asciiTheme="minorHAnsi" w:hAnsiTheme="minorHAnsi" w:cstheme="minorHAnsi"/>
                <w:sz w:val="22"/>
                <w:szCs w:val="22"/>
              </w:rPr>
              <w:t>workforce</w:t>
            </w:r>
            <w:r w:rsidR="004A2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993">
              <w:rPr>
                <w:rFonts w:asciiTheme="minorHAnsi" w:hAnsiTheme="minorHAnsi" w:cstheme="minorHAnsi"/>
                <w:sz w:val="22"/>
                <w:szCs w:val="22"/>
              </w:rPr>
              <w:t xml:space="preserve">structure </w:t>
            </w:r>
            <w:r w:rsidR="004A2673">
              <w:rPr>
                <w:rFonts w:asciiTheme="minorHAnsi" w:hAnsiTheme="minorHAnsi" w:cstheme="minorHAnsi"/>
                <w:sz w:val="22"/>
                <w:szCs w:val="22"/>
              </w:rPr>
              <w:t>(full-time, parti-time, and casual</w:t>
            </w:r>
            <w:r w:rsidR="00D87993">
              <w:rPr>
                <w:rFonts w:asciiTheme="minorHAnsi" w:hAnsiTheme="minorHAnsi" w:cstheme="minorHAnsi"/>
                <w:sz w:val="22"/>
                <w:szCs w:val="22"/>
              </w:rPr>
              <w:t xml:space="preserve"> ratio)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7127" w:rsidRPr="009C0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6478">
              <w:rPr>
                <w:rFonts w:asciiTheme="minorHAnsi" w:hAnsiTheme="minorHAnsi" w:cstheme="minorHAnsi"/>
                <w:sz w:val="22"/>
                <w:szCs w:val="22"/>
              </w:rPr>
              <w:t xml:space="preserve">cultural and historical assets, </w:t>
            </w:r>
            <w:r w:rsidR="003F7127"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the company’s </w:t>
            </w:r>
            <w:r w:rsidR="003F7127"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relationship with 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F7127" w:rsidRPr="00387B34">
              <w:rPr>
                <w:rFonts w:asciiTheme="minorHAnsi" w:hAnsiTheme="minorHAnsi" w:cstheme="minorHAnsi"/>
                <w:sz w:val="22"/>
                <w:szCs w:val="22"/>
              </w:rPr>
              <w:t>local community. (</w:t>
            </w:r>
            <w:r w:rsidR="003F712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F7127" w:rsidRPr="00387B3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00</w:t>
            </w:r>
            <w:r w:rsidR="003F7127"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 words)</w:t>
            </w:r>
          </w:p>
          <w:p w14:paraId="6AA77907" w14:textId="2A8AA5EA" w:rsidR="003F7127" w:rsidRPr="00012089" w:rsidRDefault="003F7127" w:rsidP="00ED4806">
            <w:pPr>
              <w:pStyle w:val="NormalWeb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 a SWOT analysis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9C0E5D">
              <w:rPr>
                <w:rFonts w:asciiTheme="minorHAnsi" w:hAnsiTheme="minorHAnsi" w:cstheme="minorHAnsi"/>
                <w:sz w:val="22"/>
                <w:szCs w:val="22"/>
              </w:rPr>
              <w:t>Binna Burra Lodge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A9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7C3F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3FA9" w:rsidRPr="008010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identify </w:t>
            </w:r>
            <w:r w:rsidR="009B5755" w:rsidRPr="008010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its operational problems</w:t>
            </w:r>
            <w:r w:rsidR="009B5755">
              <w:rPr>
                <w:rFonts w:asciiTheme="minorHAnsi" w:hAnsiTheme="minorHAnsi" w:cstheme="minorHAnsi"/>
                <w:sz w:val="22"/>
                <w:szCs w:val="22"/>
              </w:rPr>
              <w:t>. D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>iscuss its strengths, weaknesses, opportunities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 xml:space="preserve"> and threats after the bushfire</w:t>
            </w:r>
            <w:r w:rsidR="007B5F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8E0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2475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F85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r w:rsidR="0024759D">
              <w:rPr>
                <w:rFonts w:asciiTheme="minorHAnsi" w:hAnsiTheme="minorHAnsi" w:cstheme="minorHAnsi"/>
                <w:sz w:val="22"/>
                <w:szCs w:val="22"/>
              </w:rPr>
              <w:t xml:space="preserve"> seriously</w:t>
            </w:r>
            <w:r w:rsidR="007B5F85">
              <w:rPr>
                <w:rFonts w:asciiTheme="minorHAnsi" w:hAnsiTheme="minorHAnsi" w:cstheme="minorHAnsi"/>
                <w:sz w:val="22"/>
                <w:szCs w:val="22"/>
              </w:rPr>
              <w:t xml:space="preserve"> affected its operation</w:t>
            </w:r>
            <w:r w:rsidR="0024759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B5F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11D5">
              <w:rPr>
                <w:rFonts w:asciiTheme="minorHAnsi" w:hAnsiTheme="minorHAnsi" w:cstheme="minorHAnsi"/>
                <w:sz w:val="22"/>
                <w:szCs w:val="22"/>
              </w:rPr>
              <w:t>since 2019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 xml:space="preserve">. Please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search relevant online information (e.g., media data, government reports, media release of the company, etc.) to justify your analysis</w:t>
            </w:r>
            <w:r w:rsidR="000E11D5">
              <w:rPr>
                <w:rFonts w:asciiTheme="minorHAnsi" w:hAnsiTheme="minorHAnsi" w:cstheme="minorHAnsi"/>
                <w:sz w:val="22"/>
                <w:szCs w:val="22"/>
              </w:rPr>
              <w:t xml:space="preserve"> and findings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  <w:r w:rsidRPr="00012089">
              <w:rPr>
                <w:rFonts w:asciiTheme="minorHAnsi" w:hAnsiTheme="minorHAnsi" w:cstheme="minorHAnsi"/>
                <w:sz w:val="22"/>
                <w:szCs w:val="22"/>
              </w:rPr>
              <w:t xml:space="preserve"> words)</w:t>
            </w:r>
          </w:p>
          <w:p w14:paraId="35DAF65B" w14:textId="390B45AA" w:rsidR="003F7127" w:rsidRDefault="003F7127" w:rsidP="00ED4806">
            <w:pPr>
              <w:pStyle w:val="NormalWeb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6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Develop </w:t>
            </w:r>
            <w:r w:rsidR="000E1254" w:rsidRPr="000E12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business recovery and innovation </w:t>
            </w:r>
            <w:r w:rsidR="00824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recommendations</w:t>
            </w:r>
            <w:r w:rsidR="000E12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>to help Binna Burra Lodge</w:t>
            </w:r>
            <w:r w:rsidR="000E6F55">
              <w:rPr>
                <w:rFonts w:asciiTheme="minorHAnsi" w:hAnsiTheme="minorHAnsi" w:cstheme="minorHAnsi"/>
                <w:sz w:val="22"/>
                <w:szCs w:val="22"/>
              </w:rPr>
              <w:t>’s operations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based on your SWOT analysis</w:t>
            </w:r>
            <w:r w:rsidR="000E6F55">
              <w:rPr>
                <w:rFonts w:asciiTheme="minorHAnsi" w:hAnsiTheme="minorHAnsi" w:cstheme="minorHAnsi"/>
                <w:sz w:val="22"/>
                <w:szCs w:val="22"/>
              </w:rPr>
              <w:t xml:space="preserve"> and identified problems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325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74981">
              <w:rPr>
                <w:rFonts w:asciiTheme="minorHAnsi" w:hAnsiTheme="minorHAnsi" w:cstheme="minorHAnsi"/>
                <w:sz w:val="22"/>
                <w:szCs w:val="22"/>
              </w:rPr>
              <w:t xml:space="preserve">nnovative </w:t>
            </w:r>
            <w:r w:rsidR="009325BF">
              <w:rPr>
                <w:rFonts w:asciiTheme="minorHAnsi" w:hAnsiTheme="minorHAnsi" w:cstheme="minorHAnsi"/>
                <w:sz w:val="22"/>
                <w:szCs w:val="22"/>
              </w:rPr>
              <w:t>recommendations</w:t>
            </w:r>
            <w:r w:rsidR="009325BF" w:rsidRPr="00874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can </w:t>
            </w:r>
            <w:r w:rsidR="009325BF">
              <w:rPr>
                <w:rFonts w:asciiTheme="minorHAnsi" w:hAnsiTheme="minorHAnsi" w:cstheme="minorHAnsi"/>
                <w:sz w:val="22"/>
                <w:szCs w:val="22"/>
              </w:rPr>
              <w:t>include, but not limited to,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2C44" w:rsidRPr="004F2C44">
              <w:rPr>
                <w:rFonts w:asciiTheme="minorHAnsi" w:hAnsiTheme="minorHAnsi" w:cstheme="minorHAnsi"/>
                <w:sz w:val="22"/>
                <w:szCs w:val="22"/>
              </w:rPr>
              <w:t>the change of their business model</w:t>
            </w:r>
            <w:r w:rsidR="00625EDD">
              <w:rPr>
                <w:rFonts w:asciiTheme="minorHAnsi" w:hAnsiTheme="minorHAnsi" w:cstheme="minorHAnsi"/>
                <w:sz w:val="22"/>
                <w:szCs w:val="22"/>
              </w:rPr>
              <w:t xml:space="preserve"> or ownership</w:t>
            </w:r>
            <w:r w:rsidR="004F2C44" w:rsidRPr="004F2C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F2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the change of the way they operate the lodge,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creative F&amp;B experience design with limited resources, </w:t>
            </w:r>
            <w:r w:rsidR="009325BF">
              <w:rPr>
                <w:rFonts w:asciiTheme="minorHAnsi" w:hAnsiTheme="minorHAnsi" w:cstheme="minorHAnsi"/>
                <w:sz w:val="22"/>
                <w:szCs w:val="22"/>
              </w:rPr>
              <w:t xml:space="preserve">themed 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>events align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 with their business goal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325B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many other </w:t>
            </w:r>
            <w:r w:rsidR="00557B23">
              <w:rPr>
                <w:rFonts w:asciiTheme="minorHAnsi" w:hAnsiTheme="minorHAnsi" w:cstheme="minorHAnsi"/>
                <w:sz w:val="22"/>
                <w:szCs w:val="22"/>
              </w:rPr>
              <w:t xml:space="preserve">hospitality operations </w:t>
            </w:r>
            <w:r w:rsidR="0088389B">
              <w:rPr>
                <w:rFonts w:asciiTheme="minorHAnsi" w:hAnsiTheme="minorHAnsi" w:cstheme="minorHAnsi"/>
                <w:sz w:val="22"/>
                <w:szCs w:val="22"/>
              </w:rPr>
              <w:t>innovations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. Using examples, explain </w:t>
            </w:r>
            <w:r w:rsidR="0033318A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="00DD7E9F">
              <w:rPr>
                <w:rFonts w:asciiTheme="minorHAnsi" w:hAnsiTheme="minorHAnsi" w:cstheme="minorHAnsi"/>
                <w:sz w:val="22"/>
                <w:szCs w:val="22"/>
              </w:rPr>
              <w:t xml:space="preserve">your recommendations can </w:t>
            </w:r>
            <w:r w:rsidR="00F80B33">
              <w:rPr>
                <w:rFonts w:asciiTheme="minorHAnsi" w:hAnsiTheme="minorHAnsi" w:cstheme="minorHAnsi"/>
                <w:sz w:val="22"/>
                <w:szCs w:val="22"/>
              </w:rPr>
              <w:t>address the identified problems</w:t>
            </w:r>
            <w:r w:rsidR="00495C2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DD7E9F">
              <w:rPr>
                <w:rFonts w:asciiTheme="minorHAnsi" w:hAnsiTheme="minorHAnsi" w:cstheme="minorHAnsi"/>
                <w:sz w:val="22"/>
                <w:szCs w:val="22"/>
              </w:rPr>
              <w:t xml:space="preserve">improve </w:t>
            </w:r>
            <w:r w:rsidR="00F80B33">
              <w:rPr>
                <w:rFonts w:asciiTheme="minorHAnsi" w:hAnsiTheme="minorHAnsi" w:cstheme="minorHAnsi"/>
                <w:sz w:val="22"/>
                <w:szCs w:val="22"/>
              </w:rPr>
              <w:t>its competitive advantage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, discuss </w:t>
            </w:r>
            <w:r w:rsidR="00495C25" w:rsidRPr="0080105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how feasible </w:t>
            </w:r>
            <w:r w:rsidR="00495C25" w:rsidRPr="00801054">
              <w:rPr>
                <w:rStyle w:val="cf11"/>
                <w:rFonts w:asciiTheme="minorHAnsi" w:hAnsiTheme="minorHAnsi" w:cstheme="minorHAnsi"/>
                <w:sz w:val="22"/>
                <w:szCs w:val="22"/>
              </w:rPr>
              <w:t>your recommendations are in terms of return of investment</w:t>
            </w:r>
            <w:r w:rsidRPr="001C1C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87B34">
              <w:rPr>
                <w:rFonts w:asciiTheme="minorHAnsi" w:hAnsiTheme="minorHAnsi" w:cstheme="minorHAnsi"/>
                <w:sz w:val="22"/>
                <w:szCs w:val="22"/>
              </w:rPr>
              <w:t>00 words)</w:t>
            </w:r>
          </w:p>
          <w:p w14:paraId="2C29E1B8" w14:textId="007C67AC" w:rsidR="003F7127" w:rsidRPr="00387B34" w:rsidRDefault="003F7127" w:rsidP="00ED4806">
            <w:pPr>
              <w:pStyle w:val="NormalWeb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Design a one-page handout </w:t>
            </w:r>
            <w:r w:rsidRPr="00DE50A0">
              <w:rPr>
                <w:rFonts w:asciiTheme="minorHAnsi" w:hAnsiTheme="minorHAnsi" w:cstheme="minorHAnsi"/>
                <w:sz w:val="22"/>
                <w:szCs w:val="22"/>
              </w:rPr>
              <w:t xml:space="preserve">to communicate your </w:t>
            </w:r>
            <w:r w:rsidR="006C3BF7">
              <w:rPr>
                <w:rFonts w:asciiTheme="minorHAnsi" w:hAnsiTheme="minorHAnsi" w:cstheme="minorHAnsi"/>
                <w:sz w:val="22"/>
                <w:szCs w:val="22"/>
              </w:rPr>
              <w:t xml:space="preserve">recommendations to the </w:t>
            </w:r>
            <w:r w:rsidR="001F6802">
              <w:rPr>
                <w:rFonts w:asciiTheme="minorHAnsi" w:hAnsiTheme="minorHAnsi" w:cstheme="minorHAnsi"/>
                <w:sz w:val="22"/>
                <w:szCs w:val="22"/>
              </w:rPr>
              <w:t xml:space="preserve">lodge </w:t>
            </w:r>
            <w:r w:rsidR="001C5D03">
              <w:rPr>
                <w:rFonts w:asciiTheme="minorHAnsi" w:hAnsiTheme="minorHAnsi" w:cstheme="minorHAnsi"/>
                <w:sz w:val="22"/>
                <w:szCs w:val="22"/>
              </w:rPr>
              <w:t>operators</w:t>
            </w:r>
            <w:r w:rsidRPr="00DE50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0172">
              <w:rPr>
                <w:rFonts w:asciiTheme="minorHAnsi" w:hAnsiTheme="minorHAnsi" w:cstheme="minorHAnsi"/>
                <w:sz w:val="22"/>
                <w:szCs w:val="22"/>
              </w:rPr>
              <w:t>(Exclude in the word limit)</w:t>
            </w:r>
          </w:p>
          <w:p w14:paraId="5DC50F75" w14:textId="38E77A51" w:rsidR="003F7127" w:rsidRPr="00E9217F" w:rsidRDefault="003F7127" w:rsidP="00ED4806">
            <w:pPr>
              <w:pStyle w:val="NormalWeb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(Industry guest talk will be offered to help you develop a good understanding about Binna Burra Lodge and its post-bushfire recovery</w:t>
            </w:r>
            <w:r w:rsidR="000E5A7A">
              <w:rPr>
                <w:rFonts w:asciiTheme="minorHAnsi" w:hAnsiTheme="minorHAnsi" w:cstheme="minorHAnsi"/>
                <w:sz w:val="22"/>
                <w:szCs w:val="22"/>
              </w:rPr>
              <w:t xml:space="preserve"> needs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3F7127" w:rsidRPr="00E9217F" w14:paraId="678D2C4A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45B4B48B" w14:textId="77777777" w:rsidR="003F7127" w:rsidRPr="00E9217F" w:rsidRDefault="003F7127" w:rsidP="00ED4806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17F">
              <w:rPr>
                <w:rFonts w:asciiTheme="minorHAnsi" w:hAnsiTheme="minorHAnsi" w:cstheme="minorHAnsi"/>
                <w:b/>
                <w:sz w:val="22"/>
                <w:szCs w:val="22"/>
              </w:rPr>
              <w:t>Referencing</w:t>
            </w:r>
          </w:p>
        </w:tc>
        <w:tc>
          <w:tcPr>
            <w:tcW w:w="8469" w:type="dxa"/>
            <w:shd w:val="clear" w:color="auto" w:fill="auto"/>
          </w:tcPr>
          <w:p w14:paraId="407F1D20" w14:textId="77777777" w:rsidR="003F7127" w:rsidRPr="00E9217F" w:rsidRDefault="003F7127" w:rsidP="00ED48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9217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CN"/>
              </w:rPr>
              <w:t xml:space="preserve">Referencing style is APA. </w:t>
            </w:r>
            <w:r w:rsidRPr="00003C2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zh-CN"/>
              </w:rPr>
              <w:t>Direct quotations</w:t>
            </w:r>
            <w:r w:rsidRPr="00E921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 should be used sparingly and must be placed in quotations and referenced appropriately (including page numbers).</w:t>
            </w:r>
          </w:p>
        </w:tc>
      </w:tr>
      <w:tr w:rsidR="003F7127" w:rsidRPr="00E9217F" w14:paraId="6A70B926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2DE900A7" w14:textId="77777777" w:rsidR="003F7127" w:rsidRPr="00E9217F" w:rsidRDefault="003F7127" w:rsidP="00ED4806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1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</w:t>
            </w:r>
          </w:p>
        </w:tc>
        <w:tc>
          <w:tcPr>
            <w:tcW w:w="8469" w:type="dxa"/>
            <w:shd w:val="clear" w:color="auto" w:fill="auto"/>
          </w:tcPr>
          <w:p w14:paraId="28AC060C" w14:textId="24869E5E" w:rsidR="003F7127" w:rsidRPr="00E9217F" w:rsidRDefault="003F7127" w:rsidP="00EE63C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CN"/>
              </w:rPr>
            </w:pPr>
            <w:r w:rsidRPr="00E921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1.5 line spacing, 12 point, Times New Roman/Arial</w:t>
            </w:r>
            <w:r w:rsidR="000823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4,000</w:t>
            </w:r>
            <w:r w:rsidRPr="00E9217F">
              <w:rPr>
                <w:rFonts w:asciiTheme="minorHAnsi" w:hAnsiTheme="minorHAnsi" w:cstheme="minorHAnsi"/>
                <w:sz w:val="22"/>
                <w:szCs w:val="22"/>
              </w:rPr>
              <w:t xml:space="preserve"> words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</w:t>
            </w:r>
            <w:r w:rsidRPr="00512710">
              <w:rPr>
                <w:rFonts w:asciiTheme="minorHAnsi" w:hAnsiTheme="minorHAnsi" w:cstheme="minorHAnsi"/>
                <w:sz w:val="22"/>
                <w:szCs w:val="22"/>
              </w:rPr>
              <w:t>including tables and figures, but excluding references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12710">
              <w:rPr>
                <w:rFonts w:asciiTheme="minorHAnsi" w:hAnsiTheme="minorHAnsi" w:cstheme="minorHAnsi"/>
                <w:sz w:val="22"/>
                <w:szCs w:val="22"/>
              </w:rPr>
              <w:t xml:space="preserve"> appendices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one-page handout</w:t>
            </w:r>
          </w:p>
        </w:tc>
      </w:tr>
      <w:tr w:rsidR="003F7127" w:rsidRPr="00E9217F" w14:paraId="5AD49123" w14:textId="77777777" w:rsidTr="00ED4806">
        <w:trPr>
          <w:jc w:val="center"/>
        </w:trPr>
        <w:tc>
          <w:tcPr>
            <w:tcW w:w="1307" w:type="dxa"/>
            <w:shd w:val="clear" w:color="auto" w:fill="CCC0D9" w:themeFill="accent4" w:themeFillTint="66"/>
          </w:tcPr>
          <w:p w14:paraId="017BC8E4" w14:textId="77777777" w:rsidR="003F7127" w:rsidRPr="00E9217F" w:rsidRDefault="003F7127" w:rsidP="00BB66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17F">
              <w:rPr>
                <w:rFonts w:asciiTheme="minorHAnsi" w:hAnsiTheme="minorHAnsi" w:cstheme="minorHAnsi"/>
                <w:b/>
                <w:sz w:val="22"/>
                <w:szCs w:val="22"/>
              </w:rPr>
              <w:t>Marking Criteria</w:t>
            </w:r>
          </w:p>
        </w:tc>
        <w:tc>
          <w:tcPr>
            <w:tcW w:w="8469" w:type="dxa"/>
            <w:shd w:val="clear" w:color="auto" w:fill="auto"/>
          </w:tcPr>
          <w:p w14:paraId="7AE2689F" w14:textId="5D56EB0B" w:rsidR="003F7127" w:rsidRPr="00E9217F" w:rsidRDefault="003F7127" w:rsidP="00BB66E4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CN"/>
              </w:rPr>
            </w:pPr>
            <w:r w:rsidRPr="00E9217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CN"/>
              </w:rPr>
              <w:t>A detailed marking criteria sheet for this assessment item will be uploaded to your course Blackboard. Further details will also be discussed in class.</w:t>
            </w:r>
            <w:r w:rsidR="00A60DE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CN"/>
              </w:rPr>
              <w:t xml:space="preserve"> </w:t>
            </w:r>
            <w:r w:rsidR="00BB66E4" w:rsidRPr="00E9217F">
              <w:rPr>
                <w:rFonts w:asciiTheme="minorHAnsi" w:hAnsiTheme="minorHAnsi" w:cstheme="minorHAnsi"/>
                <w:sz w:val="22"/>
                <w:szCs w:val="22"/>
              </w:rPr>
              <w:t>Online submission via Blackboard</w:t>
            </w:r>
            <w:r w:rsidR="00BB66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CBF6E3C" w14:textId="77777777" w:rsidR="003F7127" w:rsidRPr="00E9217F" w:rsidRDefault="003F7127" w:rsidP="00536F22">
      <w:pPr>
        <w:spacing w:before="120" w:after="120"/>
        <w:rPr>
          <w:rFonts w:asciiTheme="minorHAnsi" w:hAnsiTheme="minorHAnsi" w:cstheme="minorHAnsi"/>
        </w:rPr>
      </w:pPr>
    </w:p>
    <w:sectPr w:rsidR="003F7127" w:rsidRPr="00E9217F" w:rsidSect="00925928">
      <w:headerReference w:type="default" r:id="rId9"/>
      <w:footerReference w:type="default" r:id="rId10"/>
      <w:pgSz w:w="11907" w:h="16840" w:code="9"/>
      <w:pgMar w:top="1134" w:right="1134" w:bottom="1134" w:left="1134" w:header="85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6C9E" w14:textId="77777777" w:rsidR="002209BB" w:rsidRDefault="002209BB" w:rsidP="00EC60B0">
      <w:r>
        <w:separator/>
      </w:r>
    </w:p>
  </w:endnote>
  <w:endnote w:type="continuationSeparator" w:id="0">
    <w:p w14:paraId="6125B306" w14:textId="77777777" w:rsidR="002209BB" w:rsidRDefault="002209BB" w:rsidP="00EC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589787"/>
      <w:docPartObj>
        <w:docPartGallery w:val="Page Numbers (Bottom of Page)"/>
        <w:docPartUnique/>
      </w:docPartObj>
    </w:sdtPr>
    <w:sdtEndPr/>
    <w:sdtContent>
      <w:p w14:paraId="33606CDA" w14:textId="77777777" w:rsidR="00FC5B5A" w:rsidRDefault="00D82CE8" w:rsidP="00D82CE8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g">
              <w:drawing>
                <wp:inline distT="0" distB="0" distL="0" distR="0" wp14:anchorId="180F26BC" wp14:editId="184DA635">
                  <wp:extent cx="418465" cy="221615"/>
                  <wp:effectExtent l="0" t="0" r="635" b="0"/>
                  <wp:docPr id="477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78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E03A9" w14:textId="322309F2" w:rsidR="00D82CE8" w:rsidRDefault="00D82CE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22E89" w:rsidRPr="00E22E8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7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22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180F26BC" id="Group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tMHEah4DAABu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  <v:textbox inset="0,0,0,0">
                      <w:txbxContent>
                        <w:p w14:paraId="75EE03A9" w14:textId="322309F2" w:rsidR="00D82CE8" w:rsidRDefault="00D82CE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22E89" w:rsidRPr="00E22E8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" fillcolor="#84a2c6" stroked="f"/>
                    <v:oval id="Oval 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" fillcolor="#84a2c6" stroked="f"/>
    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153CBA5E" w14:textId="77777777" w:rsidR="00FC5B5A" w:rsidRDefault="0022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0990" w14:textId="77777777" w:rsidR="002209BB" w:rsidRDefault="002209BB" w:rsidP="00EC60B0">
      <w:r>
        <w:separator/>
      </w:r>
    </w:p>
  </w:footnote>
  <w:footnote w:type="continuationSeparator" w:id="0">
    <w:p w14:paraId="6FCDAEF9" w14:textId="77777777" w:rsidR="002209BB" w:rsidRDefault="002209BB" w:rsidP="00EC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B5ED" w14:textId="3480CF35" w:rsidR="00917B8F" w:rsidRPr="00917B8F" w:rsidRDefault="00CD73EE">
    <w:pPr>
      <w:pStyle w:val="Header"/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HOSP7051</w:t>
    </w:r>
    <w:r w:rsidR="00D82CE8" w:rsidRPr="00341509">
      <w:rPr>
        <w:rFonts w:asciiTheme="minorHAnsi" w:hAnsiTheme="minorHAnsi"/>
        <w:i/>
        <w:sz w:val="20"/>
        <w:szCs w:val="20"/>
      </w:rPr>
      <w:t xml:space="preserve">: </w:t>
    </w:r>
    <w:r>
      <w:rPr>
        <w:rFonts w:asciiTheme="minorHAnsi" w:hAnsiTheme="minorHAnsi"/>
        <w:i/>
        <w:sz w:val="20"/>
        <w:szCs w:val="20"/>
      </w:rPr>
      <w:t xml:space="preserve">Global Hospitality Operations_ </w:t>
    </w:r>
    <w:r w:rsidR="00917B8F">
      <w:rPr>
        <w:rFonts w:asciiTheme="minorHAnsi" w:hAnsiTheme="minorHAnsi"/>
        <w:i/>
        <w:sz w:val="20"/>
        <w:szCs w:val="20"/>
      </w:rPr>
      <w:t>202</w:t>
    </w:r>
    <w:r w:rsidR="006E0697">
      <w:rPr>
        <w:rFonts w:asciiTheme="minorHAnsi" w:hAnsiTheme="minorHAnsi"/>
        <w:i/>
        <w:sz w:val="20"/>
        <w:szCs w:val="20"/>
      </w:rPr>
      <w:t>2</w:t>
    </w:r>
    <w:r w:rsidR="00917B8F">
      <w:rPr>
        <w:rFonts w:asciiTheme="minorHAnsi" w:hAnsiTheme="minorHAnsi"/>
        <w:i/>
        <w:sz w:val="20"/>
        <w:szCs w:val="20"/>
      </w:rPr>
      <w:t>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CB"/>
    <w:multiLevelType w:val="hybridMultilevel"/>
    <w:tmpl w:val="F8DA89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1F6"/>
    <w:multiLevelType w:val="hybridMultilevel"/>
    <w:tmpl w:val="841A4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D79"/>
    <w:multiLevelType w:val="multilevel"/>
    <w:tmpl w:val="8FDE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235DC"/>
    <w:multiLevelType w:val="hybridMultilevel"/>
    <w:tmpl w:val="E8C0CB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848"/>
    <w:multiLevelType w:val="hybridMultilevel"/>
    <w:tmpl w:val="73F4DDC0"/>
    <w:lvl w:ilvl="0" w:tplc="D604F2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02ECD"/>
    <w:multiLevelType w:val="hybridMultilevel"/>
    <w:tmpl w:val="5748E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60A0"/>
    <w:multiLevelType w:val="hybridMultilevel"/>
    <w:tmpl w:val="4718C5D8"/>
    <w:lvl w:ilvl="0" w:tplc="C50E61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D746F"/>
    <w:multiLevelType w:val="multilevel"/>
    <w:tmpl w:val="0DCC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E6072"/>
    <w:multiLevelType w:val="hybridMultilevel"/>
    <w:tmpl w:val="91F61A0A"/>
    <w:lvl w:ilvl="0" w:tplc="BC34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A99"/>
    <w:multiLevelType w:val="multilevel"/>
    <w:tmpl w:val="322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05DA0"/>
    <w:multiLevelType w:val="hybridMultilevel"/>
    <w:tmpl w:val="D5328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D034B"/>
    <w:multiLevelType w:val="hybridMultilevel"/>
    <w:tmpl w:val="0C86C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3660F"/>
    <w:multiLevelType w:val="hybridMultilevel"/>
    <w:tmpl w:val="224C3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C6BED"/>
    <w:multiLevelType w:val="multilevel"/>
    <w:tmpl w:val="4726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C4106"/>
    <w:multiLevelType w:val="hybridMultilevel"/>
    <w:tmpl w:val="DCF66074"/>
    <w:lvl w:ilvl="0" w:tplc="099AB11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0B"/>
    <w:rsid w:val="00001D24"/>
    <w:rsid w:val="0000397E"/>
    <w:rsid w:val="00003C23"/>
    <w:rsid w:val="00012089"/>
    <w:rsid w:val="000126AF"/>
    <w:rsid w:val="0001497F"/>
    <w:rsid w:val="00024FBD"/>
    <w:rsid w:val="00036A7F"/>
    <w:rsid w:val="00040AB6"/>
    <w:rsid w:val="00055BCF"/>
    <w:rsid w:val="000617C6"/>
    <w:rsid w:val="0006581F"/>
    <w:rsid w:val="00072C98"/>
    <w:rsid w:val="00074B17"/>
    <w:rsid w:val="00082312"/>
    <w:rsid w:val="000834F6"/>
    <w:rsid w:val="0008407A"/>
    <w:rsid w:val="00091646"/>
    <w:rsid w:val="00093E67"/>
    <w:rsid w:val="000A5E46"/>
    <w:rsid w:val="000A7DAD"/>
    <w:rsid w:val="000B147C"/>
    <w:rsid w:val="000B2796"/>
    <w:rsid w:val="000D6F59"/>
    <w:rsid w:val="000E11D5"/>
    <w:rsid w:val="000E1254"/>
    <w:rsid w:val="000E5A7A"/>
    <w:rsid w:val="000E6F55"/>
    <w:rsid w:val="000F457C"/>
    <w:rsid w:val="00102BF2"/>
    <w:rsid w:val="00103F12"/>
    <w:rsid w:val="0010633E"/>
    <w:rsid w:val="0011614A"/>
    <w:rsid w:val="001216B7"/>
    <w:rsid w:val="00132911"/>
    <w:rsid w:val="00132D37"/>
    <w:rsid w:val="0013398E"/>
    <w:rsid w:val="00152B1B"/>
    <w:rsid w:val="00166133"/>
    <w:rsid w:val="001778D9"/>
    <w:rsid w:val="00181E8E"/>
    <w:rsid w:val="001A49AE"/>
    <w:rsid w:val="001A73B4"/>
    <w:rsid w:val="001C1C61"/>
    <w:rsid w:val="001C3B81"/>
    <w:rsid w:val="001C4632"/>
    <w:rsid w:val="001C5D03"/>
    <w:rsid w:val="001C6882"/>
    <w:rsid w:val="001D2AA7"/>
    <w:rsid w:val="001D728A"/>
    <w:rsid w:val="001F4B52"/>
    <w:rsid w:val="001F6802"/>
    <w:rsid w:val="002025D1"/>
    <w:rsid w:val="00204242"/>
    <w:rsid w:val="0021247E"/>
    <w:rsid w:val="00213DA8"/>
    <w:rsid w:val="00215321"/>
    <w:rsid w:val="002209BB"/>
    <w:rsid w:val="00225C45"/>
    <w:rsid w:val="002263FE"/>
    <w:rsid w:val="00231E06"/>
    <w:rsid w:val="00240C0D"/>
    <w:rsid w:val="00241495"/>
    <w:rsid w:val="0024759D"/>
    <w:rsid w:val="00262886"/>
    <w:rsid w:val="00264BC6"/>
    <w:rsid w:val="00265B7B"/>
    <w:rsid w:val="00283867"/>
    <w:rsid w:val="00286C64"/>
    <w:rsid w:val="002A01EE"/>
    <w:rsid w:val="002B0DA7"/>
    <w:rsid w:val="002B1B1D"/>
    <w:rsid w:val="002B2461"/>
    <w:rsid w:val="002D09BD"/>
    <w:rsid w:val="002D745C"/>
    <w:rsid w:val="002E1CDD"/>
    <w:rsid w:val="00300172"/>
    <w:rsid w:val="00313F7A"/>
    <w:rsid w:val="00325CEC"/>
    <w:rsid w:val="0033318A"/>
    <w:rsid w:val="00341509"/>
    <w:rsid w:val="00341D3F"/>
    <w:rsid w:val="003437AD"/>
    <w:rsid w:val="003450FA"/>
    <w:rsid w:val="00345B76"/>
    <w:rsid w:val="0034703B"/>
    <w:rsid w:val="003612C2"/>
    <w:rsid w:val="0036631F"/>
    <w:rsid w:val="00374FF0"/>
    <w:rsid w:val="00376E05"/>
    <w:rsid w:val="00377288"/>
    <w:rsid w:val="00387B34"/>
    <w:rsid w:val="00390426"/>
    <w:rsid w:val="00395F1D"/>
    <w:rsid w:val="003A049A"/>
    <w:rsid w:val="003B1567"/>
    <w:rsid w:val="003B1A7A"/>
    <w:rsid w:val="003C1B3D"/>
    <w:rsid w:val="003D7C05"/>
    <w:rsid w:val="003F091B"/>
    <w:rsid w:val="003F6B28"/>
    <w:rsid w:val="003F7127"/>
    <w:rsid w:val="003F7189"/>
    <w:rsid w:val="004069E7"/>
    <w:rsid w:val="00406CB6"/>
    <w:rsid w:val="00434620"/>
    <w:rsid w:val="00435FF8"/>
    <w:rsid w:val="0044682E"/>
    <w:rsid w:val="00446B6F"/>
    <w:rsid w:val="00452FF8"/>
    <w:rsid w:val="00454230"/>
    <w:rsid w:val="00457DEE"/>
    <w:rsid w:val="00465522"/>
    <w:rsid w:val="004741C2"/>
    <w:rsid w:val="00485E07"/>
    <w:rsid w:val="004864F3"/>
    <w:rsid w:val="00495C25"/>
    <w:rsid w:val="004A0485"/>
    <w:rsid w:val="004A1FC7"/>
    <w:rsid w:val="004A2673"/>
    <w:rsid w:val="004A6062"/>
    <w:rsid w:val="004A6649"/>
    <w:rsid w:val="004B16CE"/>
    <w:rsid w:val="004C6608"/>
    <w:rsid w:val="004E06B0"/>
    <w:rsid w:val="004E6323"/>
    <w:rsid w:val="004E7636"/>
    <w:rsid w:val="004F2C44"/>
    <w:rsid w:val="00503A14"/>
    <w:rsid w:val="00507127"/>
    <w:rsid w:val="0051039A"/>
    <w:rsid w:val="00512710"/>
    <w:rsid w:val="00532893"/>
    <w:rsid w:val="005359A5"/>
    <w:rsid w:val="00536F22"/>
    <w:rsid w:val="005546E9"/>
    <w:rsid w:val="00557B23"/>
    <w:rsid w:val="005654D6"/>
    <w:rsid w:val="0056648D"/>
    <w:rsid w:val="00571F2C"/>
    <w:rsid w:val="005736E1"/>
    <w:rsid w:val="005820AC"/>
    <w:rsid w:val="00582341"/>
    <w:rsid w:val="005B3CF0"/>
    <w:rsid w:val="005B49D6"/>
    <w:rsid w:val="005B4F2C"/>
    <w:rsid w:val="005C00AB"/>
    <w:rsid w:val="005D6B5C"/>
    <w:rsid w:val="005E3C96"/>
    <w:rsid w:val="005F24DE"/>
    <w:rsid w:val="005F4E4E"/>
    <w:rsid w:val="005F6F1F"/>
    <w:rsid w:val="005F746B"/>
    <w:rsid w:val="00602B12"/>
    <w:rsid w:val="006066AF"/>
    <w:rsid w:val="00607CDF"/>
    <w:rsid w:val="0062049A"/>
    <w:rsid w:val="00625EDD"/>
    <w:rsid w:val="0064205C"/>
    <w:rsid w:val="00652117"/>
    <w:rsid w:val="00652A89"/>
    <w:rsid w:val="006543AF"/>
    <w:rsid w:val="00655E48"/>
    <w:rsid w:val="006629D0"/>
    <w:rsid w:val="00664066"/>
    <w:rsid w:val="00671D71"/>
    <w:rsid w:val="006759A0"/>
    <w:rsid w:val="00683673"/>
    <w:rsid w:val="006A2AD0"/>
    <w:rsid w:val="006B6403"/>
    <w:rsid w:val="006B7343"/>
    <w:rsid w:val="006C3BF7"/>
    <w:rsid w:val="006E0697"/>
    <w:rsid w:val="006E64FB"/>
    <w:rsid w:val="006F102D"/>
    <w:rsid w:val="00704A8B"/>
    <w:rsid w:val="007108AA"/>
    <w:rsid w:val="00710E09"/>
    <w:rsid w:val="00715A9D"/>
    <w:rsid w:val="00734085"/>
    <w:rsid w:val="00736D0F"/>
    <w:rsid w:val="007467ED"/>
    <w:rsid w:val="00770425"/>
    <w:rsid w:val="00772610"/>
    <w:rsid w:val="00780297"/>
    <w:rsid w:val="00785766"/>
    <w:rsid w:val="007B5F85"/>
    <w:rsid w:val="007C3FA9"/>
    <w:rsid w:val="007C65B7"/>
    <w:rsid w:val="007D081D"/>
    <w:rsid w:val="007E5FFD"/>
    <w:rsid w:val="00801054"/>
    <w:rsid w:val="00807AEC"/>
    <w:rsid w:val="008109BF"/>
    <w:rsid w:val="00816152"/>
    <w:rsid w:val="00816C53"/>
    <w:rsid w:val="00820D12"/>
    <w:rsid w:val="00821D18"/>
    <w:rsid w:val="008224D1"/>
    <w:rsid w:val="008225DF"/>
    <w:rsid w:val="008243BE"/>
    <w:rsid w:val="00825E73"/>
    <w:rsid w:val="00836478"/>
    <w:rsid w:val="00843066"/>
    <w:rsid w:val="008574A4"/>
    <w:rsid w:val="008579F3"/>
    <w:rsid w:val="00866BB7"/>
    <w:rsid w:val="00867CAF"/>
    <w:rsid w:val="00874981"/>
    <w:rsid w:val="0088235D"/>
    <w:rsid w:val="0088389B"/>
    <w:rsid w:val="008856A8"/>
    <w:rsid w:val="00893417"/>
    <w:rsid w:val="00895608"/>
    <w:rsid w:val="008965E3"/>
    <w:rsid w:val="00897AA7"/>
    <w:rsid w:val="008A09A8"/>
    <w:rsid w:val="008B7E74"/>
    <w:rsid w:val="008C58E4"/>
    <w:rsid w:val="008F6D5D"/>
    <w:rsid w:val="008F6F9D"/>
    <w:rsid w:val="008F7E63"/>
    <w:rsid w:val="00900831"/>
    <w:rsid w:val="00903563"/>
    <w:rsid w:val="009107BF"/>
    <w:rsid w:val="00912F6E"/>
    <w:rsid w:val="00913A7D"/>
    <w:rsid w:val="00917B8F"/>
    <w:rsid w:val="00920BAF"/>
    <w:rsid w:val="00921139"/>
    <w:rsid w:val="00925928"/>
    <w:rsid w:val="00931AAC"/>
    <w:rsid w:val="009325BF"/>
    <w:rsid w:val="009348A8"/>
    <w:rsid w:val="00937D09"/>
    <w:rsid w:val="009406BE"/>
    <w:rsid w:val="00944CEC"/>
    <w:rsid w:val="00956CF4"/>
    <w:rsid w:val="009612FF"/>
    <w:rsid w:val="00973DC5"/>
    <w:rsid w:val="00974EC2"/>
    <w:rsid w:val="00985B44"/>
    <w:rsid w:val="00990A15"/>
    <w:rsid w:val="009A1444"/>
    <w:rsid w:val="009A456E"/>
    <w:rsid w:val="009A7A66"/>
    <w:rsid w:val="009B5755"/>
    <w:rsid w:val="009C0E5D"/>
    <w:rsid w:val="009C1153"/>
    <w:rsid w:val="009E5CBD"/>
    <w:rsid w:val="009E7886"/>
    <w:rsid w:val="00A00B43"/>
    <w:rsid w:val="00A07352"/>
    <w:rsid w:val="00A1182E"/>
    <w:rsid w:val="00A157F4"/>
    <w:rsid w:val="00A248F3"/>
    <w:rsid w:val="00A30AC6"/>
    <w:rsid w:val="00A31DA8"/>
    <w:rsid w:val="00A32446"/>
    <w:rsid w:val="00A334C3"/>
    <w:rsid w:val="00A37759"/>
    <w:rsid w:val="00A45FF4"/>
    <w:rsid w:val="00A50E62"/>
    <w:rsid w:val="00A51622"/>
    <w:rsid w:val="00A60010"/>
    <w:rsid w:val="00A60A1B"/>
    <w:rsid w:val="00A60DE8"/>
    <w:rsid w:val="00A86BF4"/>
    <w:rsid w:val="00A87AFC"/>
    <w:rsid w:val="00AA25AC"/>
    <w:rsid w:val="00AB12A9"/>
    <w:rsid w:val="00AB136B"/>
    <w:rsid w:val="00AD2725"/>
    <w:rsid w:val="00AD3DA5"/>
    <w:rsid w:val="00AE43C3"/>
    <w:rsid w:val="00AE4C69"/>
    <w:rsid w:val="00B04DAD"/>
    <w:rsid w:val="00B10D2D"/>
    <w:rsid w:val="00B11CB6"/>
    <w:rsid w:val="00B25D3B"/>
    <w:rsid w:val="00B325A2"/>
    <w:rsid w:val="00B509A3"/>
    <w:rsid w:val="00B572DB"/>
    <w:rsid w:val="00B611AC"/>
    <w:rsid w:val="00B6315F"/>
    <w:rsid w:val="00B703EF"/>
    <w:rsid w:val="00B71ECE"/>
    <w:rsid w:val="00B73620"/>
    <w:rsid w:val="00B850C9"/>
    <w:rsid w:val="00B90CED"/>
    <w:rsid w:val="00B92D6D"/>
    <w:rsid w:val="00B962CE"/>
    <w:rsid w:val="00BA1018"/>
    <w:rsid w:val="00BA30CB"/>
    <w:rsid w:val="00BB66E4"/>
    <w:rsid w:val="00BD0B3D"/>
    <w:rsid w:val="00BD4B51"/>
    <w:rsid w:val="00BE27B0"/>
    <w:rsid w:val="00C01EEB"/>
    <w:rsid w:val="00C03576"/>
    <w:rsid w:val="00C06A4F"/>
    <w:rsid w:val="00C25752"/>
    <w:rsid w:val="00C40A97"/>
    <w:rsid w:val="00C421A6"/>
    <w:rsid w:val="00C52B15"/>
    <w:rsid w:val="00C71378"/>
    <w:rsid w:val="00C84EC6"/>
    <w:rsid w:val="00C93729"/>
    <w:rsid w:val="00CA4CA1"/>
    <w:rsid w:val="00CA516A"/>
    <w:rsid w:val="00CB0CFC"/>
    <w:rsid w:val="00CD4179"/>
    <w:rsid w:val="00CD73EE"/>
    <w:rsid w:val="00CF1C51"/>
    <w:rsid w:val="00D01275"/>
    <w:rsid w:val="00D0188D"/>
    <w:rsid w:val="00D0696F"/>
    <w:rsid w:val="00D079A7"/>
    <w:rsid w:val="00D12316"/>
    <w:rsid w:val="00D15877"/>
    <w:rsid w:val="00D16F38"/>
    <w:rsid w:val="00D21E06"/>
    <w:rsid w:val="00D24107"/>
    <w:rsid w:val="00D30188"/>
    <w:rsid w:val="00D337F0"/>
    <w:rsid w:val="00D65DC0"/>
    <w:rsid w:val="00D711C2"/>
    <w:rsid w:val="00D82CE8"/>
    <w:rsid w:val="00D87993"/>
    <w:rsid w:val="00D930F2"/>
    <w:rsid w:val="00D96AFA"/>
    <w:rsid w:val="00DB1D0B"/>
    <w:rsid w:val="00DB2F2D"/>
    <w:rsid w:val="00DC3253"/>
    <w:rsid w:val="00DC7122"/>
    <w:rsid w:val="00DD106E"/>
    <w:rsid w:val="00DD7E9F"/>
    <w:rsid w:val="00DE10AF"/>
    <w:rsid w:val="00DE50A0"/>
    <w:rsid w:val="00E01D4D"/>
    <w:rsid w:val="00E15D0A"/>
    <w:rsid w:val="00E221BF"/>
    <w:rsid w:val="00E22E89"/>
    <w:rsid w:val="00E3326D"/>
    <w:rsid w:val="00E3491D"/>
    <w:rsid w:val="00E41AD5"/>
    <w:rsid w:val="00E442C2"/>
    <w:rsid w:val="00E448E3"/>
    <w:rsid w:val="00E455B9"/>
    <w:rsid w:val="00E4563C"/>
    <w:rsid w:val="00E53CC9"/>
    <w:rsid w:val="00E6053F"/>
    <w:rsid w:val="00E7048B"/>
    <w:rsid w:val="00E73808"/>
    <w:rsid w:val="00E739B6"/>
    <w:rsid w:val="00E9217F"/>
    <w:rsid w:val="00E93E33"/>
    <w:rsid w:val="00E96977"/>
    <w:rsid w:val="00EA1705"/>
    <w:rsid w:val="00EA3427"/>
    <w:rsid w:val="00EA5154"/>
    <w:rsid w:val="00EA6A30"/>
    <w:rsid w:val="00EA7647"/>
    <w:rsid w:val="00EB3B74"/>
    <w:rsid w:val="00EB3C12"/>
    <w:rsid w:val="00EC60B0"/>
    <w:rsid w:val="00EC7ECE"/>
    <w:rsid w:val="00ED242D"/>
    <w:rsid w:val="00EE4678"/>
    <w:rsid w:val="00EE49F3"/>
    <w:rsid w:val="00EE63CD"/>
    <w:rsid w:val="00EF1855"/>
    <w:rsid w:val="00EF1C35"/>
    <w:rsid w:val="00EF32DE"/>
    <w:rsid w:val="00EF7B7A"/>
    <w:rsid w:val="00F015A6"/>
    <w:rsid w:val="00F03008"/>
    <w:rsid w:val="00F14136"/>
    <w:rsid w:val="00F15451"/>
    <w:rsid w:val="00F356BE"/>
    <w:rsid w:val="00F3694F"/>
    <w:rsid w:val="00F52DA6"/>
    <w:rsid w:val="00F56362"/>
    <w:rsid w:val="00F738E0"/>
    <w:rsid w:val="00F80A49"/>
    <w:rsid w:val="00F80B33"/>
    <w:rsid w:val="00F85E24"/>
    <w:rsid w:val="00F86FB0"/>
    <w:rsid w:val="00F9003F"/>
    <w:rsid w:val="00F948B4"/>
    <w:rsid w:val="00FA4F9A"/>
    <w:rsid w:val="00FA5996"/>
    <w:rsid w:val="00FC2A1D"/>
    <w:rsid w:val="00FC510B"/>
    <w:rsid w:val="00FC56C3"/>
    <w:rsid w:val="00FE3BEC"/>
    <w:rsid w:val="00FE5719"/>
    <w:rsid w:val="00FF1075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ED7C2"/>
  <w15:docId w15:val="{CD089A4A-CAF4-47CD-A337-099FA09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FC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7AFC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F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7AF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rsid w:val="004A0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04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0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4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221BF"/>
    <w:rPr>
      <w:rFonts w:ascii="Verdana" w:hAnsi="Verdana"/>
      <w:lang w:val="en-GB" w:eastAsia="zh-CN"/>
    </w:rPr>
  </w:style>
  <w:style w:type="character" w:styleId="Strong">
    <w:name w:val="Strong"/>
    <w:basedOn w:val="DefaultParagraphFont"/>
    <w:uiPriority w:val="22"/>
    <w:qFormat/>
    <w:rsid w:val="00E22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221BF"/>
    <w:rPr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E221B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EB3C12"/>
    <w:pPr>
      <w:spacing w:after="200"/>
      <w:ind w:left="720"/>
      <w:contextualSpacing/>
    </w:pPr>
    <w:rPr>
      <w:rFonts w:ascii="Arial" w:eastAsiaTheme="minorHAnsi" w:hAnsi="Arial" w:cstheme="minorBidi"/>
      <w:sz w:val="22"/>
      <w:lang w:val="en-AU"/>
    </w:rPr>
  </w:style>
  <w:style w:type="table" w:styleId="TableGrid">
    <w:name w:val="Table Grid"/>
    <w:basedOn w:val="TableNormal"/>
    <w:uiPriority w:val="39"/>
    <w:rsid w:val="00345B76"/>
    <w:pPr>
      <w:spacing w:after="0" w:line="240" w:lineRule="auto"/>
    </w:pPr>
    <w:rPr>
      <w:rFonts w:eastAsia="SimSu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772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9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94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94F"/>
    <w:rPr>
      <w:vertAlign w:val="superscript"/>
    </w:rPr>
  </w:style>
  <w:style w:type="paragraph" w:styleId="Revision">
    <w:name w:val="Revision"/>
    <w:hidden/>
    <w:uiPriority w:val="99"/>
    <w:semiHidden/>
    <w:rsid w:val="00EA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4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42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f01">
    <w:name w:val="cf01"/>
    <w:basedOn w:val="DefaultParagraphFont"/>
    <w:rsid w:val="00495C2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95C2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naburralodge.com.au/news/qld-government-will-provide-funding-support-to-rebuild-the-historic-binna-burra-lod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B1EC-5CDE-4A8B-A58A-536257B6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Wang</dc:creator>
  <cp:lastModifiedBy>Jie Wang</cp:lastModifiedBy>
  <cp:revision>3</cp:revision>
  <cp:lastPrinted>2015-07-25T06:00:00Z</cp:lastPrinted>
  <dcterms:created xsi:type="dcterms:W3CDTF">2022-06-21T14:28:00Z</dcterms:created>
  <dcterms:modified xsi:type="dcterms:W3CDTF">2022-06-21T14:28:00Z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2022-06-19T13:13:46Z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cc9b76a5-9f0f-4554-8b2b-b6a9f96ed7d4</vt:lpwstr>
  </property>
  <property fmtid="{D5CDD505-2E9C-101B-9397-08002B2CF9AE}" pid="8" name="MSIP_Label_0f488380-630a-4f55-a077-a19445e3f360_ContentBits">
    <vt:lpwstr>0</vt:lpwstr>
  </property>
</Properties>
</file>