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8A3F" w14:textId="69878E7B" w:rsidR="00074450" w:rsidRPr="00F11B48" w:rsidRDefault="00074450" w:rsidP="00074450">
      <w:pPr>
        <w:pStyle w:val="Title"/>
        <w:rPr>
          <w:rFonts w:asciiTheme="minorHAnsi" w:hAnsiTheme="minorHAnsi"/>
          <w:u w:val="single"/>
        </w:rPr>
      </w:pPr>
    </w:p>
    <w:p w14:paraId="64C7EE5B" w14:textId="3CF648F7" w:rsidR="00762071" w:rsidRPr="0058686E" w:rsidRDefault="0058686E">
      <w:pPr>
        <w:rPr>
          <w:rFonts w:asciiTheme="minorHAnsi" w:hAnsiTheme="minorHAnsi"/>
          <w:b/>
          <w:sz w:val="36"/>
          <w:szCs w:val="36"/>
        </w:rPr>
      </w:pPr>
      <w:r>
        <w:rPr>
          <w:rFonts w:asciiTheme="minorHAnsi" w:hAnsiTheme="minorHAnsi"/>
          <w:b/>
          <w:sz w:val="36"/>
          <w:szCs w:val="36"/>
        </w:rPr>
        <w:t>Developing a Therapeutic F</w:t>
      </w:r>
      <w:r w:rsidR="00C31D55" w:rsidRPr="0058686E">
        <w:rPr>
          <w:rFonts w:asciiTheme="minorHAnsi" w:hAnsiTheme="minorHAnsi"/>
          <w:b/>
          <w:sz w:val="36"/>
          <w:szCs w:val="36"/>
        </w:rPr>
        <w:t>ramework – Report Form</w:t>
      </w:r>
    </w:p>
    <w:p w14:paraId="650FFAB0" w14:textId="77777777" w:rsidR="00C31D55" w:rsidRPr="00F11B48" w:rsidRDefault="00C31D55">
      <w:pPr>
        <w:rPr>
          <w:rFonts w:asciiTheme="minorHAnsi" w:hAnsiTheme="minorHAnsi"/>
        </w:rPr>
      </w:pPr>
    </w:p>
    <w:p w14:paraId="311125C7" w14:textId="77777777" w:rsidR="00CC27B3" w:rsidRPr="00F11B48" w:rsidRDefault="00CC27B3">
      <w:pPr>
        <w:rPr>
          <w:rFonts w:asciiTheme="minorHAnsi" w:hAnsiTheme="minorHAnsi"/>
        </w:rPr>
      </w:pPr>
    </w:p>
    <w:p w14:paraId="79E31616" w14:textId="5A2A234F" w:rsidR="000302F5" w:rsidRPr="00F11B48" w:rsidRDefault="00F11B48" w:rsidP="000302F5">
      <w:pPr>
        <w:rPr>
          <w:rFonts w:asciiTheme="minorHAnsi" w:hAnsiTheme="minorHAnsi"/>
        </w:rPr>
      </w:pPr>
      <w:r>
        <w:rPr>
          <w:rFonts w:asciiTheme="minorHAnsi" w:hAnsiTheme="minorHAnsi"/>
        </w:rPr>
        <w:t>Name of Student</w:t>
      </w:r>
    </w:p>
    <w:p w14:paraId="17D33F2F" w14:textId="588ED40A" w:rsidR="000302F5" w:rsidRPr="00F11B48" w:rsidRDefault="00A52358">
      <w:pPr>
        <w:rPr>
          <w:rFonts w:asciiTheme="minorHAnsi" w:hAnsiTheme="minorHAnsi"/>
        </w:rPr>
      </w:pPr>
      <w:r w:rsidRPr="00F11B48">
        <w:rPr>
          <w:rFonts w:asciiTheme="minorHAnsi" w:hAnsiTheme="minorHAnsi"/>
          <w:noProof/>
        </w:rPr>
        <mc:AlternateContent>
          <mc:Choice Requires="wps">
            <w:drawing>
              <wp:anchor distT="0" distB="0" distL="114300" distR="114300" simplePos="0" relativeHeight="251655680" behindDoc="0" locked="0" layoutInCell="1" allowOverlap="1" wp14:anchorId="55AA41E8" wp14:editId="00ABC41A">
                <wp:simplePos x="0" y="0"/>
                <wp:positionH relativeFrom="column">
                  <wp:posOffset>0</wp:posOffset>
                </wp:positionH>
                <wp:positionV relativeFrom="paragraph">
                  <wp:posOffset>125730</wp:posOffset>
                </wp:positionV>
                <wp:extent cx="2743200" cy="228600"/>
                <wp:effectExtent l="0" t="0" r="12700" b="139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39AB8837" w14:textId="77777777" w:rsidR="00740B3A" w:rsidRDefault="00740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A41E8" id="_x0000_t202" coordsize="21600,21600" o:spt="202" path="m,l,21600r21600,l21600,xe">
                <v:stroke joinstyle="miter"/>
                <v:path gradientshapeok="t" o:connecttype="rect"/>
              </v:shapetype>
              <v:shape id="Text Box 10" o:spid="_x0000_s1026" type="#_x0000_t202" style="position:absolute;margin-left:0;margin-top:9.9pt;width:3in;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">
                <v:textbox>
                  <w:txbxContent>
                    <w:p w14:paraId="39AB8837" w14:textId="77777777" w:rsidR="00740B3A" w:rsidRDefault="00740B3A"/>
                  </w:txbxContent>
                </v:textbox>
              </v:shape>
            </w:pict>
          </mc:Fallback>
        </mc:AlternateContent>
      </w:r>
    </w:p>
    <w:p w14:paraId="1E2BA4D9" w14:textId="77777777" w:rsidR="000302F5" w:rsidRPr="00F11B48" w:rsidRDefault="000302F5">
      <w:pPr>
        <w:rPr>
          <w:rFonts w:asciiTheme="minorHAnsi" w:hAnsiTheme="minorHAnsi"/>
        </w:rPr>
      </w:pPr>
    </w:p>
    <w:p w14:paraId="0B5FEA35" w14:textId="77777777" w:rsidR="00CC27B3" w:rsidRPr="00F11B48" w:rsidRDefault="00CC27B3">
      <w:pPr>
        <w:rPr>
          <w:rFonts w:asciiTheme="minorHAnsi" w:hAnsiTheme="minorHAnsi"/>
        </w:rPr>
      </w:pPr>
    </w:p>
    <w:p w14:paraId="79A8B0C4" w14:textId="77777777" w:rsidR="00CC27B3" w:rsidRPr="00F11B48" w:rsidRDefault="00CC27B3">
      <w:pPr>
        <w:rPr>
          <w:rFonts w:asciiTheme="minorHAnsi" w:hAnsiTheme="minorHAnsi"/>
        </w:rPr>
      </w:pPr>
    </w:p>
    <w:p w14:paraId="57925446" w14:textId="77777777" w:rsidR="000302F5" w:rsidRPr="00F11B48" w:rsidRDefault="000302F5">
      <w:pPr>
        <w:rPr>
          <w:rFonts w:asciiTheme="minorHAnsi" w:hAnsiTheme="minorHAnsi"/>
        </w:rPr>
      </w:pPr>
    </w:p>
    <w:p w14:paraId="23B7F20D" w14:textId="77777777" w:rsidR="00CC27B3" w:rsidRPr="00F11B48" w:rsidRDefault="00CC27B3">
      <w:pPr>
        <w:rPr>
          <w:rFonts w:asciiTheme="minorHAnsi" w:hAnsiTheme="minorHAnsi"/>
        </w:rPr>
      </w:pPr>
    </w:p>
    <w:p w14:paraId="62CD906C" w14:textId="2A99B1C7" w:rsidR="00CC27B3" w:rsidRPr="00F11B48" w:rsidRDefault="00F11B48" w:rsidP="00CC27B3">
      <w:pPr>
        <w:rPr>
          <w:rFonts w:asciiTheme="minorHAnsi" w:hAnsiTheme="minorHAnsi"/>
        </w:rPr>
      </w:pPr>
      <w:r>
        <w:rPr>
          <w:rFonts w:asciiTheme="minorHAnsi" w:hAnsiTheme="minorHAnsi"/>
        </w:rPr>
        <w:t>Defined Area of Practice</w:t>
      </w:r>
    </w:p>
    <w:p w14:paraId="032A65D1" w14:textId="6C789DFD" w:rsidR="00CC27B3" w:rsidRPr="00F11B48" w:rsidRDefault="00A52358">
      <w:pPr>
        <w:rPr>
          <w:rFonts w:asciiTheme="minorHAnsi" w:hAnsiTheme="minorHAnsi"/>
        </w:rPr>
      </w:pPr>
      <w:r w:rsidRPr="00F11B48">
        <w:rPr>
          <w:rFonts w:asciiTheme="minorHAnsi" w:hAnsiTheme="minorHAnsi"/>
          <w:noProof/>
        </w:rPr>
        <mc:AlternateContent>
          <mc:Choice Requires="wps">
            <w:drawing>
              <wp:anchor distT="0" distB="0" distL="114300" distR="114300" simplePos="0" relativeHeight="251656704" behindDoc="0" locked="0" layoutInCell="1" allowOverlap="1" wp14:anchorId="7FAF3B91" wp14:editId="3982DD82">
                <wp:simplePos x="0" y="0"/>
                <wp:positionH relativeFrom="column">
                  <wp:posOffset>0</wp:posOffset>
                </wp:positionH>
                <wp:positionV relativeFrom="paragraph">
                  <wp:posOffset>102870</wp:posOffset>
                </wp:positionV>
                <wp:extent cx="3657600" cy="342900"/>
                <wp:effectExtent l="0" t="1270" r="12700"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625223AF" w14:textId="77777777" w:rsidR="00740B3A" w:rsidRDefault="00740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3B91" id="Text Box 13" o:spid="_x0000_s1027" type="#_x0000_t202" style="position:absolute;margin-left:0;margin-top:8.1pt;width:4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nWKw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">
                <v:textbox>
                  <w:txbxContent>
                    <w:p w14:paraId="625223AF" w14:textId="77777777" w:rsidR="00740B3A" w:rsidRDefault="00740B3A"/>
                  </w:txbxContent>
                </v:textbox>
              </v:shape>
            </w:pict>
          </mc:Fallback>
        </mc:AlternateContent>
      </w:r>
    </w:p>
    <w:p w14:paraId="0C90A998" w14:textId="77777777" w:rsidR="000302F5" w:rsidRPr="00F11B48" w:rsidRDefault="000302F5">
      <w:pPr>
        <w:rPr>
          <w:rFonts w:asciiTheme="minorHAnsi" w:hAnsiTheme="minorHAnsi"/>
        </w:rPr>
      </w:pPr>
    </w:p>
    <w:p w14:paraId="24C6D535" w14:textId="77777777" w:rsidR="00C31D55" w:rsidRPr="00F11B48" w:rsidRDefault="00C31D55">
      <w:pPr>
        <w:rPr>
          <w:rFonts w:asciiTheme="minorHAnsi" w:hAnsiTheme="minorHAnsi"/>
        </w:rPr>
      </w:pPr>
    </w:p>
    <w:p w14:paraId="7AEE2A6F" w14:textId="77777777" w:rsidR="00CC27B3" w:rsidRPr="00F11B48" w:rsidRDefault="000302F5" w:rsidP="000302F5">
      <w:pPr>
        <w:rPr>
          <w:rFonts w:asciiTheme="minorHAnsi" w:hAnsiTheme="minorHAnsi"/>
        </w:rPr>
      </w:pPr>
      <w:r w:rsidRPr="00F11B48">
        <w:rPr>
          <w:rFonts w:asciiTheme="minorHAnsi" w:hAnsiTheme="minorHAnsi"/>
        </w:rPr>
        <w:tab/>
      </w:r>
      <w:r w:rsidRPr="00F11B48">
        <w:rPr>
          <w:rFonts w:asciiTheme="minorHAnsi" w:hAnsiTheme="minorHAnsi"/>
        </w:rPr>
        <w:tab/>
      </w:r>
      <w:r w:rsidRPr="00F11B48">
        <w:rPr>
          <w:rFonts w:asciiTheme="minorHAnsi" w:hAnsiTheme="minorHAnsi"/>
        </w:rPr>
        <w:tab/>
      </w:r>
    </w:p>
    <w:p w14:paraId="1DDECD44" w14:textId="77777777" w:rsidR="000302F5" w:rsidRPr="00F11B48" w:rsidRDefault="00CC27B3" w:rsidP="000302F5">
      <w:pPr>
        <w:rPr>
          <w:rFonts w:asciiTheme="minorHAnsi" w:hAnsiTheme="minorHAnsi"/>
        </w:rPr>
      </w:pPr>
      <w:r w:rsidRPr="00F11B48">
        <w:rPr>
          <w:rFonts w:asciiTheme="minorHAnsi" w:hAnsiTheme="minorHAnsi"/>
        </w:rPr>
        <w:br w:type="page"/>
      </w:r>
    </w:p>
    <w:p w14:paraId="077558FD" w14:textId="34713BF1" w:rsidR="00A11183" w:rsidRPr="00EB5433" w:rsidRDefault="00A11183" w:rsidP="00EB5433">
      <w:pPr>
        <w:pStyle w:val="ListParagraph"/>
        <w:numPr>
          <w:ilvl w:val="0"/>
          <w:numId w:val="12"/>
        </w:numPr>
        <w:ind w:left="284" w:hanging="284"/>
        <w:rPr>
          <w:rFonts w:asciiTheme="minorHAnsi" w:hAnsiTheme="minorHAnsi"/>
          <w:b/>
          <w:u w:val="single"/>
        </w:rPr>
      </w:pPr>
      <w:r w:rsidRPr="00EB5433">
        <w:rPr>
          <w:rFonts w:asciiTheme="minorHAnsi" w:hAnsiTheme="minorHAnsi"/>
          <w:b/>
          <w:u w:val="single"/>
        </w:rPr>
        <w:lastRenderedPageBreak/>
        <w:t>Therapeutic use in specified clinical conditions</w:t>
      </w:r>
    </w:p>
    <w:p w14:paraId="3BE386A0" w14:textId="77777777" w:rsidR="00A11183" w:rsidRPr="00F11B48" w:rsidRDefault="00A11183" w:rsidP="00A11183">
      <w:pPr>
        <w:rPr>
          <w:rFonts w:asciiTheme="minorHAnsi" w:hAnsiTheme="minorHAnsi"/>
          <w:b/>
        </w:rPr>
      </w:pPr>
    </w:p>
    <w:p w14:paraId="22B0821E" w14:textId="6179B1E1" w:rsidR="00A11183" w:rsidRPr="00F11B48" w:rsidRDefault="00D47F9B" w:rsidP="004A3DA1">
      <w:pPr>
        <w:jc w:val="both"/>
        <w:rPr>
          <w:rFonts w:asciiTheme="minorHAnsi" w:hAnsiTheme="minorHAnsi"/>
        </w:rPr>
      </w:pPr>
      <w:r w:rsidRPr="00F11B48">
        <w:rPr>
          <w:rFonts w:asciiTheme="minorHAnsi" w:hAnsiTheme="minorHAnsi"/>
        </w:rPr>
        <w:t xml:space="preserve">This section covers resources that you would use to understand the </w:t>
      </w:r>
      <w:r w:rsidR="00FA292D" w:rsidRPr="00F11B48">
        <w:rPr>
          <w:rFonts w:asciiTheme="minorHAnsi" w:hAnsiTheme="minorHAnsi"/>
        </w:rPr>
        <w:t>therapeutics</w:t>
      </w:r>
      <w:r w:rsidR="006C6692" w:rsidRPr="00F11B48">
        <w:rPr>
          <w:rFonts w:asciiTheme="minorHAnsi" w:hAnsiTheme="minorHAnsi"/>
        </w:rPr>
        <w:t xml:space="preserve"> of managing the condition(s) in you</w:t>
      </w:r>
      <w:r w:rsidR="004A3DA1">
        <w:rPr>
          <w:rFonts w:asciiTheme="minorHAnsi" w:hAnsiTheme="minorHAnsi"/>
        </w:rPr>
        <w:t>r</w:t>
      </w:r>
      <w:r w:rsidR="006C6692" w:rsidRPr="00F11B48">
        <w:rPr>
          <w:rFonts w:asciiTheme="minorHAnsi" w:hAnsiTheme="minorHAnsi"/>
        </w:rPr>
        <w:t xml:space="preserve"> clinical area</w:t>
      </w:r>
      <w:r w:rsidR="004A3DA1">
        <w:rPr>
          <w:rFonts w:asciiTheme="minorHAnsi" w:hAnsiTheme="minorHAnsi"/>
        </w:rPr>
        <w:t>(</w:t>
      </w:r>
      <w:r w:rsidR="006C6692" w:rsidRPr="00F11B48">
        <w:rPr>
          <w:rFonts w:asciiTheme="minorHAnsi" w:hAnsiTheme="minorHAnsi"/>
        </w:rPr>
        <w:t>s</w:t>
      </w:r>
      <w:r w:rsidR="004A3DA1">
        <w:rPr>
          <w:rFonts w:asciiTheme="minorHAnsi" w:hAnsiTheme="minorHAnsi"/>
        </w:rPr>
        <w:t>)</w:t>
      </w:r>
      <w:r w:rsidR="006C6692" w:rsidRPr="00F11B48">
        <w:rPr>
          <w:rFonts w:asciiTheme="minorHAnsi" w:hAnsiTheme="minorHAnsi"/>
        </w:rPr>
        <w:t xml:space="preserve">. This would be standard textbooks and </w:t>
      </w:r>
      <w:r w:rsidR="00FE5B1F" w:rsidRPr="00F11B48">
        <w:rPr>
          <w:rFonts w:asciiTheme="minorHAnsi" w:hAnsiTheme="minorHAnsi"/>
        </w:rPr>
        <w:t>reviews</w:t>
      </w:r>
      <w:r w:rsidR="006C6692" w:rsidRPr="00F11B48">
        <w:rPr>
          <w:rFonts w:asciiTheme="minorHAnsi" w:hAnsiTheme="minorHAnsi"/>
        </w:rPr>
        <w:t xml:space="preserve"> </w:t>
      </w:r>
      <w:r w:rsidR="00FE5B1F" w:rsidRPr="00F11B48">
        <w:rPr>
          <w:rFonts w:asciiTheme="minorHAnsi" w:hAnsiTheme="minorHAnsi"/>
        </w:rPr>
        <w:t>(ideally evidence based) in more recent educational and peer reviewed journals</w:t>
      </w:r>
      <w:r w:rsidR="004A3DA1">
        <w:rPr>
          <w:rFonts w:asciiTheme="minorHAnsi" w:hAnsiTheme="minorHAnsi"/>
        </w:rPr>
        <w:t>.</w:t>
      </w:r>
      <w:r w:rsidR="00FE5B1F" w:rsidRPr="00F11B48">
        <w:rPr>
          <w:rFonts w:asciiTheme="minorHAnsi" w:hAnsiTheme="minorHAnsi"/>
        </w:rPr>
        <w:t xml:space="preserve"> </w:t>
      </w:r>
      <w:r w:rsidR="009405B5" w:rsidRPr="00F11B48">
        <w:rPr>
          <w:rFonts w:asciiTheme="minorHAnsi" w:hAnsiTheme="minorHAnsi"/>
        </w:rPr>
        <w:t xml:space="preserve">In addition this would cover resources such as the BNF, </w:t>
      </w:r>
      <w:r w:rsidR="00232186" w:rsidRPr="00F11B48">
        <w:rPr>
          <w:rFonts w:asciiTheme="minorHAnsi" w:hAnsiTheme="minorHAnsi"/>
        </w:rPr>
        <w:t>and electronic library of health.</w:t>
      </w:r>
    </w:p>
    <w:p w14:paraId="05E7BEDA" w14:textId="77777777" w:rsidR="00A11183" w:rsidRPr="00F11B48" w:rsidRDefault="00A11183" w:rsidP="00A11183">
      <w:pPr>
        <w:rPr>
          <w:rFonts w:asciiTheme="minorHAnsi" w:hAnsiTheme="minorHAnsi"/>
        </w:rPr>
      </w:pPr>
    </w:p>
    <w:p w14:paraId="269176BB" w14:textId="2C4B2D02" w:rsidR="00A11183" w:rsidRPr="004A3DA1" w:rsidRDefault="00957FC0" w:rsidP="00A11183">
      <w:pPr>
        <w:rPr>
          <w:rFonts w:asciiTheme="minorHAnsi" w:hAnsiTheme="minorHAnsi"/>
          <w:b/>
        </w:rPr>
      </w:pPr>
      <w:r>
        <w:rPr>
          <w:rFonts w:asciiTheme="minorHAnsi" w:hAnsiTheme="minorHAnsi"/>
          <w:b/>
        </w:rPr>
        <w:t>Section</w:t>
      </w:r>
      <w:r w:rsidR="004A3DA1" w:rsidRPr="004A3DA1">
        <w:rPr>
          <w:rFonts w:asciiTheme="minorHAnsi" w:hAnsiTheme="minorHAnsi"/>
          <w:b/>
        </w:rPr>
        <w:t xml:space="preserve"> 1a</w:t>
      </w:r>
      <w:r w:rsidR="004A3DA1">
        <w:rPr>
          <w:rFonts w:asciiTheme="minorHAnsi" w:hAnsiTheme="minorHAnsi"/>
          <w:b/>
        </w:rPr>
        <w:t>:</w:t>
      </w:r>
      <w:r w:rsidR="004A3DA1" w:rsidRPr="004A3DA1">
        <w:rPr>
          <w:rFonts w:asciiTheme="minorHAnsi" w:hAnsiTheme="minorHAnsi"/>
          <w:b/>
        </w:rPr>
        <w:t xml:space="preserve"> References relevant to your therapeutic area</w:t>
      </w:r>
    </w:p>
    <w:p w14:paraId="6E0A740A" w14:textId="77777777" w:rsidR="004A3DA1" w:rsidRDefault="004A3DA1" w:rsidP="00F52961">
      <w:pPr>
        <w:rPr>
          <w:rFonts w:asciiTheme="minorHAnsi" w:hAnsiTheme="minorHAnsi"/>
          <w:i/>
        </w:rPr>
      </w:pPr>
    </w:p>
    <w:p w14:paraId="3DED4392" w14:textId="04B4D542" w:rsidR="00A11183" w:rsidRPr="00F11B48" w:rsidRDefault="00957FC0" w:rsidP="00A11183">
      <w:pPr>
        <w:rPr>
          <w:rFonts w:asciiTheme="minorHAnsi" w:hAnsiTheme="minorHAnsi"/>
        </w:rPr>
      </w:pPr>
      <w:r>
        <w:rPr>
          <w:rFonts w:asciiTheme="minorHAnsi" w:hAnsiTheme="minorHAnsi"/>
          <w:i/>
        </w:rPr>
        <w:t>Include a</w:t>
      </w:r>
      <w:r w:rsidR="00A11183" w:rsidRPr="00F11B48">
        <w:rPr>
          <w:rFonts w:asciiTheme="minorHAnsi" w:hAnsiTheme="minorHAnsi"/>
          <w:i/>
        </w:rPr>
        <w:t xml:space="preserve"> reference lis</w:t>
      </w:r>
      <w:r w:rsidR="00F357C8" w:rsidRPr="00F11B48">
        <w:rPr>
          <w:rFonts w:asciiTheme="minorHAnsi" w:hAnsiTheme="minorHAnsi"/>
          <w:i/>
        </w:rPr>
        <w:t>t of articles or books</w:t>
      </w:r>
      <w:r w:rsidR="00266B3F" w:rsidRPr="00F11B48">
        <w:rPr>
          <w:rFonts w:asciiTheme="minorHAnsi" w:hAnsiTheme="minorHAnsi"/>
          <w:i/>
        </w:rPr>
        <w:t xml:space="preserve"> relevant to your </w:t>
      </w:r>
      <w:r w:rsidR="00A11183" w:rsidRPr="00F11B48">
        <w:rPr>
          <w:rFonts w:asciiTheme="minorHAnsi" w:hAnsiTheme="minorHAnsi"/>
          <w:i/>
        </w:rPr>
        <w:t xml:space="preserve">therapeutic area. </w:t>
      </w:r>
      <w:r w:rsidR="00266B3F" w:rsidRPr="00F11B48">
        <w:rPr>
          <w:rFonts w:asciiTheme="minorHAnsi" w:hAnsiTheme="minorHAnsi"/>
          <w:i/>
        </w:rPr>
        <w:t xml:space="preserve">This would include WEB link to on line reviews and articles. </w:t>
      </w:r>
      <w:r w:rsidR="00A11183" w:rsidRPr="00F11B48">
        <w:rPr>
          <w:rFonts w:asciiTheme="minorHAnsi" w:hAnsiTheme="minorHAnsi"/>
          <w:i/>
        </w:rPr>
        <w:t>You should own copies of these papers</w:t>
      </w:r>
      <w:r w:rsidR="00F04CA2" w:rsidRPr="00F11B48">
        <w:rPr>
          <w:rFonts w:asciiTheme="minorHAnsi" w:hAnsiTheme="minorHAnsi"/>
          <w:i/>
        </w:rPr>
        <w:t>/books or have downloaded copies</w:t>
      </w:r>
      <w:r w:rsidR="00BB04DE" w:rsidRPr="00F11B48">
        <w:rPr>
          <w:rFonts w:asciiTheme="minorHAnsi" w:hAnsiTheme="minorHAnsi"/>
          <w:i/>
        </w:rPr>
        <w:t xml:space="preserve"> e.g. as PDF</w:t>
      </w:r>
    </w:p>
    <w:p w14:paraId="4AC7425E" w14:textId="20CD3D66" w:rsidR="00A11183" w:rsidRPr="00957FC0" w:rsidRDefault="00957FC0" w:rsidP="00A11183">
      <w:pPr>
        <w:rPr>
          <w:rFonts w:asciiTheme="minorHAnsi" w:hAnsiTheme="minorHAnsi"/>
          <w:i/>
        </w:rPr>
      </w:pP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as required for the number of references required)</w:t>
      </w:r>
    </w:p>
    <w:p w14:paraId="1E9C6D22" w14:textId="77777777" w:rsidR="00957FC0" w:rsidRPr="00957FC0" w:rsidRDefault="00957FC0" w:rsidP="00A11183">
      <w:pPr>
        <w:rPr>
          <w:rFonts w:asciiTheme="minorHAnsi" w:hAnsiTheme="minorHAnsi"/>
          <w:i/>
        </w:rPr>
      </w:pPr>
    </w:p>
    <w:p w14:paraId="2B996C8F" w14:textId="777BF0F4" w:rsidR="00957FC0" w:rsidRPr="009C5A58" w:rsidRDefault="00957FC0" w:rsidP="00A11183">
      <w:pPr>
        <w:rPr>
          <w:rFonts w:asciiTheme="minorHAnsi" w:hAnsiTheme="minorHAnsi"/>
          <w:u w:val="single"/>
        </w:rPr>
      </w:pPr>
      <w:r w:rsidRPr="009C5A58">
        <w:rPr>
          <w:rFonts w:asciiTheme="minorHAnsi" w:hAnsiTheme="minorHAnsi"/>
          <w:u w:val="single"/>
        </w:rPr>
        <w:t>Reference 1:</w:t>
      </w:r>
    </w:p>
    <w:p w14:paraId="68D7BFDE" w14:textId="37E891F9" w:rsidR="00167010" w:rsidRDefault="00167010" w:rsidP="00A11183">
      <w:pPr>
        <w:rPr>
          <w:rFonts w:asciiTheme="minorHAnsi" w:hAnsiTheme="minorHAnsi"/>
        </w:rPr>
      </w:pPr>
    </w:p>
    <w:p w14:paraId="34C180F7" w14:textId="77777777" w:rsidR="00167010" w:rsidRPr="00BA4CB7" w:rsidRDefault="00167010" w:rsidP="00167010">
      <w:pPr>
        <w:rPr>
          <w:rFonts w:asciiTheme="minorHAnsi" w:hAnsiTheme="minorHAnsi"/>
        </w:rPr>
      </w:pPr>
      <w:r w:rsidRPr="00BA4CB7">
        <w:rPr>
          <w:rFonts w:asciiTheme="minorHAnsi" w:hAnsiTheme="minorHAnsi"/>
        </w:rPr>
        <w:t xml:space="preserve">ASHELY C, DUNLEAVY A (eds.), </w:t>
      </w:r>
      <w:r w:rsidRPr="00BA4CB7">
        <w:rPr>
          <w:rFonts w:asciiTheme="minorHAnsi" w:hAnsiTheme="minorHAnsi"/>
          <w:i/>
        </w:rPr>
        <w:t>The Renal Drug Database</w:t>
      </w:r>
      <w:r w:rsidRPr="00BA4CB7">
        <w:rPr>
          <w:rFonts w:asciiTheme="minorHAnsi" w:hAnsiTheme="minorHAnsi"/>
        </w:rPr>
        <w:t xml:space="preserve">. [online] Taylor and Francis Group, Abingdon, Oxford. Available at: </w:t>
      </w:r>
    </w:p>
    <w:p w14:paraId="7034CDA1" w14:textId="7E7D57B9" w:rsidR="00167010" w:rsidRDefault="00366432" w:rsidP="00167010">
      <w:pPr>
        <w:rPr>
          <w:rFonts w:asciiTheme="minorHAnsi" w:hAnsiTheme="minorHAnsi"/>
        </w:rPr>
      </w:pPr>
      <w:hyperlink r:id="rId7" w:history="1">
        <w:r w:rsidR="00167010" w:rsidRPr="00BA4CB7">
          <w:rPr>
            <w:rStyle w:val="Hyperlink"/>
            <w:rFonts w:asciiTheme="minorHAnsi" w:hAnsiTheme="minorHAnsi" w:cs="Calibri"/>
          </w:rPr>
          <w:t>http://renaldrugdatabase.com</w:t>
        </w:r>
        <w:r w:rsidR="00167010" w:rsidRPr="00BA4CB7">
          <w:rPr>
            <w:rStyle w:val="Hyperlink"/>
            <w:rFonts w:asciiTheme="minorHAnsi" w:hAnsiTheme="minorHAnsi"/>
          </w:rPr>
          <w:t>/</w:t>
        </w:r>
      </w:hyperlink>
      <w:r w:rsidR="00167010" w:rsidRPr="00BA4CB7">
        <w:rPr>
          <w:rFonts w:asciiTheme="minorHAnsi" w:hAnsiTheme="minorHAnsi" w:cs="Calibri"/>
        </w:rPr>
        <w:t xml:space="preserve"> (accessed 15/01/2016)</w:t>
      </w:r>
    </w:p>
    <w:p w14:paraId="44D18B09" w14:textId="77777777" w:rsidR="00167010" w:rsidRDefault="00167010" w:rsidP="00A11183">
      <w:pPr>
        <w:rPr>
          <w:rFonts w:asciiTheme="minorHAnsi" w:hAnsiTheme="minorHAnsi"/>
        </w:rPr>
      </w:pPr>
    </w:p>
    <w:p w14:paraId="66C036EB" w14:textId="299B45CD" w:rsidR="00957FC0" w:rsidRPr="009C5A58" w:rsidRDefault="00957FC0" w:rsidP="00A11183">
      <w:pPr>
        <w:rPr>
          <w:rFonts w:asciiTheme="minorHAnsi" w:hAnsiTheme="minorHAnsi"/>
          <w:u w:val="single"/>
        </w:rPr>
      </w:pPr>
      <w:r w:rsidRPr="009C5A58">
        <w:rPr>
          <w:rFonts w:asciiTheme="minorHAnsi" w:hAnsiTheme="minorHAnsi"/>
          <w:u w:val="single"/>
        </w:rPr>
        <w:t>What you have learned:</w:t>
      </w:r>
    </w:p>
    <w:p w14:paraId="49E111F1" w14:textId="5A7A15DA" w:rsidR="00957FC0" w:rsidRDefault="00957FC0" w:rsidP="00A11183">
      <w:pPr>
        <w:rPr>
          <w:rFonts w:asciiTheme="minorHAnsi" w:hAnsiTheme="minorHAnsi"/>
        </w:rPr>
      </w:pPr>
    </w:p>
    <w:p w14:paraId="67F41054" w14:textId="49E04EA0" w:rsidR="00167010" w:rsidRPr="00BA4CB7" w:rsidRDefault="00167010" w:rsidP="009C5A58">
      <w:pPr>
        <w:jc w:val="both"/>
        <w:rPr>
          <w:rFonts w:asciiTheme="minorHAnsi" w:hAnsiTheme="minorHAnsi" w:cs="Calibri"/>
        </w:rPr>
      </w:pPr>
      <w:r w:rsidRPr="00BA4CB7">
        <w:rPr>
          <w:rFonts w:asciiTheme="minorHAnsi" w:hAnsiTheme="minorHAnsi" w:cs="Calibri"/>
        </w:rPr>
        <w:t xml:space="preserve">Includes information on dosing in renal impairment of varying degrees and in patients undergoing renal replacement therapies.  Provides both </w:t>
      </w:r>
      <w:proofErr w:type="spellStart"/>
      <w:r w:rsidRPr="00BA4CB7">
        <w:rPr>
          <w:rFonts w:asciiTheme="minorHAnsi" w:hAnsiTheme="minorHAnsi" w:cs="Calibri"/>
        </w:rPr>
        <w:t>Cockroft</w:t>
      </w:r>
      <w:proofErr w:type="spellEnd"/>
      <w:r w:rsidRPr="00BA4CB7">
        <w:rPr>
          <w:rFonts w:asciiTheme="minorHAnsi" w:hAnsiTheme="minorHAnsi" w:cs="Calibri"/>
        </w:rPr>
        <w:t xml:space="preserve">-Gault and eGFR online calculators and advice on assessment of renal function.  Offers key points to consider for interactions and side effects of particular relevance to patients with impaired renal function.  The UK Renal Pharmacy Group compiles the information based on SPCs, ongoing systematic review and safety updates and the information provided can differ from the advice given in the licensed product literature.  Imatinib, nilotinib and </w:t>
      </w:r>
      <w:proofErr w:type="spellStart"/>
      <w:r w:rsidRPr="00BA4CB7">
        <w:rPr>
          <w:rFonts w:asciiTheme="minorHAnsi" w:hAnsiTheme="minorHAnsi" w:cs="Calibri"/>
        </w:rPr>
        <w:t>dasatinib</w:t>
      </w:r>
      <w:proofErr w:type="spellEnd"/>
      <w:r w:rsidRPr="00BA4CB7">
        <w:rPr>
          <w:rFonts w:asciiTheme="minorHAnsi" w:hAnsiTheme="minorHAnsi" w:cs="Calibri"/>
        </w:rPr>
        <w:t xml:space="preserve"> included, but not the newer tyrosine kinase inhibitors.</w:t>
      </w:r>
      <w:r w:rsidR="009C5A58">
        <w:rPr>
          <w:rFonts w:asciiTheme="minorHAnsi" w:hAnsiTheme="minorHAnsi" w:cs="Calibri"/>
        </w:rPr>
        <w:t xml:space="preserve"> </w:t>
      </w:r>
      <w:r w:rsidRPr="00BA4CB7">
        <w:rPr>
          <w:rFonts w:asciiTheme="minorHAnsi" w:hAnsiTheme="minorHAnsi" w:cs="Calibri"/>
        </w:rPr>
        <w:t xml:space="preserve">Requires subscription with username and password for access.  </w:t>
      </w:r>
    </w:p>
    <w:p w14:paraId="18A53B18" w14:textId="148E8EE3" w:rsidR="00957FC0" w:rsidRDefault="00957FC0" w:rsidP="00A11183">
      <w:pPr>
        <w:rPr>
          <w:rFonts w:asciiTheme="minorHAnsi" w:hAnsiTheme="minorHAnsi"/>
        </w:rPr>
      </w:pPr>
    </w:p>
    <w:p w14:paraId="3C0C4540" w14:textId="299EB6D4" w:rsidR="00167010" w:rsidRPr="009C5A58" w:rsidRDefault="00167010" w:rsidP="00A11183">
      <w:pPr>
        <w:rPr>
          <w:rFonts w:asciiTheme="minorHAnsi" w:hAnsiTheme="minorHAnsi"/>
          <w:u w:val="single"/>
        </w:rPr>
      </w:pPr>
      <w:r w:rsidRPr="009C5A58">
        <w:rPr>
          <w:rFonts w:asciiTheme="minorHAnsi" w:hAnsiTheme="minorHAnsi"/>
          <w:u w:val="single"/>
        </w:rPr>
        <w:t xml:space="preserve">Reference 2: </w:t>
      </w:r>
    </w:p>
    <w:p w14:paraId="48D8A7BA" w14:textId="3AA753B3" w:rsidR="00167010" w:rsidRDefault="00167010" w:rsidP="00A11183">
      <w:pPr>
        <w:rPr>
          <w:rFonts w:asciiTheme="minorHAnsi" w:hAnsiTheme="minorHAnsi"/>
        </w:rPr>
      </w:pPr>
    </w:p>
    <w:p w14:paraId="6064AAB2" w14:textId="1BAB5E2B" w:rsidR="00167010" w:rsidRDefault="00366432" w:rsidP="00167010">
      <w:pPr>
        <w:rPr>
          <w:rFonts w:asciiTheme="minorHAnsi" w:hAnsiTheme="minorHAnsi" w:cs="Calibri"/>
          <w:color w:val="0000FF"/>
        </w:rPr>
      </w:pPr>
      <w:hyperlink r:id="rId8" w:history="1">
        <w:r w:rsidR="00167010" w:rsidRPr="00BA4CB7">
          <w:rPr>
            <w:rFonts w:asciiTheme="minorHAnsi" w:hAnsiTheme="minorHAnsi" w:cs="Calibri"/>
            <w:color w:val="0000FF"/>
            <w:u w:val="single"/>
          </w:rPr>
          <w:t>http://www.medscape.com</w:t>
        </w:r>
      </w:hyperlink>
      <w:r w:rsidR="00167010" w:rsidRPr="00BA4CB7">
        <w:rPr>
          <w:rFonts w:asciiTheme="minorHAnsi" w:hAnsiTheme="minorHAnsi" w:cs="Calibri"/>
          <w:color w:val="0000FF"/>
          <w:u w:val="single"/>
        </w:rPr>
        <w:t xml:space="preserve">. </w:t>
      </w:r>
      <w:r w:rsidR="00167010" w:rsidRPr="00BA4CB7">
        <w:rPr>
          <w:rFonts w:asciiTheme="minorHAnsi" w:hAnsiTheme="minorHAnsi" w:cs="Calibri"/>
          <w:color w:val="0000FF"/>
        </w:rPr>
        <w:t>Accessed 27</w:t>
      </w:r>
      <w:r w:rsidR="00167010" w:rsidRPr="00BA4CB7">
        <w:rPr>
          <w:rFonts w:asciiTheme="minorHAnsi" w:hAnsiTheme="minorHAnsi" w:cs="Calibri"/>
          <w:color w:val="0000FF"/>
          <w:vertAlign w:val="superscript"/>
        </w:rPr>
        <w:t>th</w:t>
      </w:r>
      <w:r w:rsidR="00167010" w:rsidRPr="00BA4CB7">
        <w:rPr>
          <w:rFonts w:asciiTheme="minorHAnsi" w:hAnsiTheme="minorHAnsi" w:cs="Calibri"/>
          <w:color w:val="0000FF"/>
        </w:rPr>
        <w:t xml:space="preserve"> February 2016.</w:t>
      </w:r>
    </w:p>
    <w:p w14:paraId="7614840B" w14:textId="77777777" w:rsidR="00167010" w:rsidRPr="00BA4CB7" w:rsidRDefault="00366432" w:rsidP="00167010">
      <w:pPr>
        <w:rPr>
          <w:rFonts w:asciiTheme="minorHAnsi" w:hAnsiTheme="minorHAnsi" w:cs="Calibri"/>
        </w:rPr>
      </w:pPr>
      <w:hyperlink r:id="rId9" w:history="1">
        <w:r w:rsidR="00167010" w:rsidRPr="00BA4CB7">
          <w:rPr>
            <w:rStyle w:val="Hyperlink"/>
            <w:rFonts w:asciiTheme="minorHAnsi" w:hAnsiTheme="minorHAnsi" w:cs="Calibri"/>
          </w:rPr>
          <w:t>http://emedicine.medscape.com/article/297664-overview</w:t>
        </w:r>
      </w:hyperlink>
      <w:r w:rsidR="00167010" w:rsidRPr="00BA4CB7">
        <w:rPr>
          <w:rStyle w:val="Hyperlink"/>
          <w:rFonts w:asciiTheme="minorHAnsi" w:hAnsiTheme="minorHAnsi" w:cs="Calibri"/>
        </w:rPr>
        <w:t>. Accessed 27</w:t>
      </w:r>
      <w:r w:rsidR="00167010" w:rsidRPr="00BA4CB7">
        <w:rPr>
          <w:rStyle w:val="Hyperlink"/>
          <w:rFonts w:asciiTheme="minorHAnsi" w:hAnsiTheme="minorHAnsi" w:cs="Calibri"/>
          <w:vertAlign w:val="superscript"/>
        </w:rPr>
        <w:t>th</w:t>
      </w:r>
      <w:r w:rsidR="00167010" w:rsidRPr="00BA4CB7">
        <w:rPr>
          <w:rStyle w:val="Hyperlink"/>
          <w:rFonts w:asciiTheme="minorHAnsi" w:hAnsiTheme="minorHAnsi" w:cs="Calibri"/>
        </w:rPr>
        <w:t xml:space="preserve"> February 2016.</w:t>
      </w:r>
    </w:p>
    <w:p w14:paraId="4E3F866B" w14:textId="77777777" w:rsidR="00167010" w:rsidRPr="00BA4CB7" w:rsidRDefault="00167010" w:rsidP="00167010">
      <w:pPr>
        <w:rPr>
          <w:rFonts w:asciiTheme="minorHAnsi" w:hAnsiTheme="minorHAnsi" w:cs="Calibri"/>
          <w:color w:val="0000FF"/>
          <w:u w:val="single"/>
        </w:rPr>
      </w:pPr>
    </w:p>
    <w:p w14:paraId="55D169DC" w14:textId="5D2FE9D0" w:rsidR="00167010" w:rsidRPr="009C5A58" w:rsidRDefault="00167010" w:rsidP="00167010">
      <w:pPr>
        <w:rPr>
          <w:rFonts w:asciiTheme="minorHAnsi" w:hAnsiTheme="minorHAnsi"/>
          <w:u w:val="single"/>
        </w:rPr>
      </w:pPr>
      <w:r w:rsidRPr="009C5A58">
        <w:rPr>
          <w:rFonts w:asciiTheme="minorHAnsi" w:hAnsiTheme="minorHAnsi"/>
          <w:u w:val="single"/>
        </w:rPr>
        <w:t>What you have learned:</w:t>
      </w:r>
    </w:p>
    <w:p w14:paraId="1229BA84" w14:textId="65E50748" w:rsidR="00167010" w:rsidRDefault="00167010" w:rsidP="00167010">
      <w:pPr>
        <w:rPr>
          <w:rFonts w:asciiTheme="minorHAnsi" w:hAnsiTheme="minorHAnsi"/>
        </w:rPr>
      </w:pPr>
    </w:p>
    <w:p w14:paraId="1E6B5D46" w14:textId="77777777" w:rsidR="00167010" w:rsidRDefault="00167010" w:rsidP="009C5A58">
      <w:pPr>
        <w:jc w:val="both"/>
        <w:rPr>
          <w:rFonts w:asciiTheme="minorHAnsi" w:hAnsiTheme="minorHAnsi" w:cs="Calibri"/>
        </w:rPr>
      </w:pPr>
      <w:r w:rsidRPr="00BA4CB7">
        <w:rPr>
          <w:rFonts w:asciiTheme="minorHAnsi" w:hAnsiTheme="minorHAnsi" w:cs="Calibri"/>
        </w:rPr>
        <w:t>Medscape –A comprehensive</w:t>
      </w:r>
      <w:r>
        <w:rPr>
          <w:rFonts w:asciiTheme="minorHAnsi" w:hAnsiTheme="minorHAnsi" w:cs="Calibri"/>
        </w:rPr>
        <w:t xml:space="preserve"> </w:t>
      </w:r>
      <w:r w:rsidRPr="00BA4CB7">
        <w:rPr>
          <w:rFonts w:asciiTheme="minorHAnsi" w:hAnsiTheme="minorHAnsi" w:cs="Calibri"/>
        </w:rPr>
        <w:t xml:space="preserve">website with access to current clinical information, news and continuing education material for use by healthcare professionals including pharmacists.  (Free following registration). </w:t>
      </w:r>
    </w:p>
    <w:p w14:paraId="3955F466" w14:textId="77777777" w:rsidR="009C5A58" w:rsidRDefault="009C5A58" w:rsidP="009C5A58">
      <w:pPr>
        <w:jc w:val="both"/>
        <w:rPr>
          <w:rFonts w:asciiTheme="minorHAnsi" w:hAnsiTheme="minorHAnsi" w:cs="Calibri"/>
        </w:rPr>
      </w:pPr>
    </w:p>
    <w:p w14:paraId="0DF68B40" w14:textId="3D351AE7" w:rsidR="00167010" w:rsidRPr="00BA4CB7" w:rsidRDefault="00167010" w:rsidP="009C5A58">
      <w:pPr>
        <w:jc w:val="both"/>
        <w:rPr>
          <w:rFonts w:asciiTheme="minorHAnsi" w:hAnsiTheme="minorHAnsi" w:cs="Calibri"/>
        </w:rPr>
      </w:pPr>
      <w:r w:rsidRPr="00BA4CB7">
        <w:rPr>
          <w:rFonts w:asciiTheme="minorHAnsi" w:hAnsiTheme="minorHAnsi" w:cs="Calibri"/>
        </w:rPr>
        <w:lastRenderedPageBreak/>
        <w:t>Very useful article giving an overview and links to pages covering background of the definition and origin of the term COPD, pathophysiology and aetiology and treatments although some of the investigations and treatments are from an American angle.</w:t>
      </w:r>
    </w:p>
    <w:p w14:paraId="1E55513D" w14:textId="17E60A78" w:rsidR="00167010" w:rsidRDefault="00167010" w:rsidP="00167010">
      <w:pPr>
        <w:rPr>
          <w:rFonts w:asciiTheme="minorHAnsi" w:hAnsiTheme="minorHAnsi"/>
        </w:rPr>
      </w:pPr>
    </w:p>
    <w:p w14:paraId="6F2C4E5F" w14:textId="48F9FD67" w:rsidR="00167010" w:rsidRPr="009C5A58" w:rsidRDefault="00167010" w:rsidP="00167010">
      <w:pPr>
        <w:rPr>
          <w:rFonts w:asciiTheme="minorHAnsi" w:hAnsiTheme="minorHAnsi"/>
          <w:u w:val="single"/>
        </w:rPr>
      </w:pPr>
      <w:r w:rsidRPr="009C5A58">
        <w:rPr>
          <w:rFonts w:asciiTheme="minorHAnsi" w:hAnsiTheme="minorHAnsi"/>
          <w:u w:val="single"/>
        </w:rPr>
        <w:t xml:space="preserve">Reference 3: </w:t>
      </w:r>
    </w:p>
    <w:p w14:paraId="397B3BC6" w14:textId="47B0EF39" w:rsidR="00167010" w:rsidRDefault="00167010" w:rsidP="00167010">
      <w:pPr>
        <w:rPr>
          <w:rFonts w:asciiTheme="minorHAnsi" w:hAnsiTheme="minorHAnsi"/>
        </w:rPr>
      </w:pPr>
    </w:p>
    <w:p w14:paraId="69D644CE" w14:textId="5C1A90A4" w:rsidR="00167010" w:rsidRDefault="00167010" w:rsidP="00167010">
      <w:pPr>
        <w:rPr>
          <w:rFonts w:asciiTheme="minorHAnsi" w:hAnsiTheme="minorHAnsi"/>
        </w:rPr>
      </w:pPr>
      <w:r w:rsidRPr="00BA4CB7">
        <w:rPr>
          <w:rFonts w:asciiTheme="minorHAnsi" w:hAnsiTheme="minorHAnsi"/>
        </w:rPr>
        <w:t xml:space="preserve">LYNES, D., 2007. </w:t>
      </w:r>
      <w:r w:rsidRPr="00BA4CB7">
        <w:rPr>
          <w:rFonts w:asciiTheme="minorHAnsi" w:hAnsiTheme="minorHAnsi"/>
          <w:i/>
          <w:iCs/>
        </w:rPr>
        <w:t xml:space="preserve">The management of COPD in primary and secondary care: an introduction. </w:t>
      </w:r>
      <w:r w:rsidRPr="00BA4CB7">
        <w:rPr>
          <w:rFonts w:asciiTheme="minorHAnsi" w:hAnsiTheme="minorHAnsi"/>
        </w:rPr>
        <w:t>Keswick: M&amp;K Update.</w:t>
      </w:r>
    </w:p>
    <w:p w14:paraId="2FE7EC23" w14:textId="2545E450" w:rsidR="00167010" w:rsidRDefault="00167010" w:rsidP="00A11183">
      <w:pPr>
        <w:rPr>
          <w:rFonts w:asciiTheme="minorHAnsi" w:hAnsiTheme="minorHAnsi"/>
        </w:rPr>
      </w:pPr>
    </w:p>
    <w:p w14:paraId="1767888E" w14:textId="77777777" w:rsidR="00167010" w:rsidRPr="009C5A58" w:rsidRDefault="00167010" w:rsidP="00167010">
      <w:pPr>
        <w:rPr>
          <w:rFonts w:asciiTheme="minorHAnsi" w:hAnsiTheme="minorHAnsi"/>
          <w:u w:val="single"/>
        </w:rPr>
      </w:pPr>
      <w:r w:rsidRPr="009C5A58">
        <w:rPr>
          <w:rFonts w:asciiTheme="minorHAnsi" w:hAnsiTheme="minorHAnsi"/>
          <w:u w:val="single"/>
        </w:rPr>
        <w:t>What you have learned:</w:t>
      </w:r>
    </w:p>
    <w:p w14:paraId="05548B10" w14:textId="79EE7BB6" w:rsidR="00167010" w:rsidRDefault="00167010" w:rsidP="00A11183">
      <w:pPr>
        <w:rPr>
          <w:rFonts w:asciiTheme="minorHAnsi" w:hAnsiTheme="minorHAnsi"/>
        </w:rPr>
      </w:pPr>
    </w:p>
    <w:p w14:paraId="4D0CE3F0" w14:textId="72C9D10D" w:rsidR="00167010" w:rsidRDefault="00167010" w:rsidP="00A11183">
      <w:pPr>
        <w:rPr>
          <w:rFonts w:asciiTheme="minorHAnsi" w:hAnsiTheme="minorHAnsi" w:cs="Calibri"/>
        </w:rPr>
      </w:pPr>
      <w:r w:rsidRPr="00BA4CB7">
        <w:rPr>
          <w:rFonts w:asciiTheme="minorHAnsi" w:hAnsiTheme="minorHAnsi" w:cs="Calibri"/>
        </w:rPr>
        <w:t>Useful comprehensive textbook focused on COPD signs and symptoms, disease process, diagnosis and management.  Emphasises the multi-disciplinary approach needed for care of these patients and holistic approach. Last updated 2007 so the pharmacology section may be a little out of date and will need to be used in conjunction with the current NICE guidelines and other up to date evidence.</w:t>
      </w:r>
    </w:p>
    <w:p w14:paraId="4365CE3E" w14:textId="183C9B43" w:rsidR="00167010" w:rsidRDefault="00167010" w:rsidP="00A11183">
      <w:pPr>
        <w:rPr>
          <w:rFonts w:asciiTheme="minorHAnsi" w:hAnsiTheme="minorHAnsi"/>
        </w:rPr>
      </w:pPr>
    </w:p>
    <w:p w14:paraId="681D0E89" w14:textId="6A513E09" w:rsidR="009C5A58" w:rsidRPr="009C5A58" w:rsidRDefault="009C5A58" w:rsidP="00A11183">
      <w:pPr>
        <w:rPr>
          <w:rFonts w:asciiTheme="minorHAnsi" w:hAnsiTheme="minorHAnsi"/>
          <w:u w:val="single"/>
        </w:rPr>
      </w:pPr>
      <w:r w:rsidRPr="009C5A58">
        <w:rPr>
          <w:rFonts w:asciiTheme="minorHAnsi" w:hAnsiTheme="minorHAnsi"/>
          <w:u w:val="single"/>
        </w:rPr>
        <w:t>Reference 4:</w:t>
      </w:r>
    </w:p>
    <w:p w14:paraId="49C5DAE7" w14:textId="466B9E85" w:rsidR="009C5A58" w:rsidRDefault="009C5A58" w:rsidP="00A11183">
      <w:pPr>
        <w:rPr>
          <w:rFonts w:asciiTheme="minorHAnsi" w:hAnsiTheme="minorHAnsi"/>
        </w:rPr>
      </w:pPr>
    </w:p>
    <w:p w14:paraId="29AD1C8D" w14:textId="57A92161" w:rsidR="009C5A58" w:rsidRDefault="009C5A58" w:rsidP="00A11183">
      <w:pPr>
        <w:rPr>
          <w:rFonts w:asciiTheme="minorHAnsi" w:hAnsiTheme="minorHAnsi" w:cs="Calibri"/>
        </w:rPr>
      </w:pPr>
      <w:r w:rsidRPr="00BA4CB7">
        <w:rPr>
          <w:rFonts w:asciiTheme="minorHAnsi" w:hAnsiTheme="minorHAnsi" w:cs="Calibri"/>
        </w:rPr>
        <w:t xml:space="preserve">Longmore, M. Wilkinson, I. Baldwin, A. </w:t>
      </w:r>
      <w:proofErr w:type="spellStart"/>
      <w:r w:rsidRPr="00BA4CB7">
        <w:rPr>
          <w:rFonts w:asciiTheme="minorHAnsi" w:hAnsiTheme="minorHAnsi" w:cs="Calibri"/>
        </w:rPr>
        <w:t>Wallin</w:t>
      </w:r>
      <w:proofErr w:type="spellEnd"/>
      <w:r w:rsidRPr="00BA4CB7">
        <w:rPr>
          <w:rFonts w:asciiTheme="minorHAnsi" w:hAnsiTheme="minorHAnsi" w:cs="Calibri"/>
        </w:rPr>
        <w:t xml:space="preserve">, E. (2014). </w:t>
      </w:r>
      <w:r w:rsidRPr="00BA4CB7">
        <w:rPr>
          <w:rFonts w:asciiTheme="minorHAnsi" w:hAnsiTheme="minorHAnsi" w:cs="Calibri"/>
          <w:i/>
        </w:rPr>
        <w:t>Oxford Handbook of Clinical Medicine</w:t>
      </w:r>
      <w:r w:rsidRPr="00BA4CB7">
        <w:rPr>
          <w:rFonts w:asciiTheme="minorHAnsi" w:hAnsiTheme="minorHAnsi" w:cs="Calibri"/>
        </w:rPr>
        <w:t>. 9th ed. Oxford UK: OUP Oxford. Pages 154-195.</w:t>
      </w:r>
    </w:p>
    <w:p w14:paraId="0E7278CF" w14:textId="58914642" w:rsidR="009C5A58" w:rsidRDefault="009C5A58" w:rsidP="00A11183">
      <w:pPr>
        <w:rPr>
          <w:rFonts w:asciiTheme="minorHAnsi" w:hAnsiTheme="minorHAnsi" w:cs="Calibri"/>
        </w:rPr>
      </w:pPr>
    </w:p>
    <w:p w14:paraId="7137D6A5" w14:textId="77777777" w:rsidR="009C5A58" w:rsidRPr="009C5A58" w:rsidRDefault="009C5A58" w:rsidP="009C5A58">
      <w:pPr>
        <w:rPr>
          <w:rFonts w:asciiTheme="minorHAnsi" w:hAnsiTheme="minorHAnsi"/>
          <w:u w:val="single"/>
        </w:rPr>
      </w:pPr>
      <w:r w:rsidRPr="009C5A58">
        <w:rPr>
          <w:rFonts w:asciiTheme="minorHAnsi" w:hAnsiTheme="minorHAnsi"/>
          <w:u w:val="single"/>
        </w:rPr>
        <w:t>What you have learned:</w:t>
      </w:r>
    </w:p>
    <w:p w14:paraId="5841407F" w14:textId="552D23BF" w:rsidR="009C5A58" w:rsidRDefault="009C5A58" w:rsidP="00A11183">
      <w:pPr>
        <w:rPr>
          <w:rFonts w:asciiTheme="minorHAnsi" w:hAnsiTheme="minorHAnsi"/>
        </w:rPr>
      </w:pPr>
    </w:p>
    <w:p w14:paraId="3FC12A28" w14:textId="3E1CBB45" w:rsidR="009C5A58" w:rsidRDefault="009C5A58" w:rsidP="009C5A58">
      <w:pPr>
        <w:jc w:val="both"/>
        <w:rPr>
          <w:rFonts w:asciiTheme="minorHAnsi" w:hAnsiTheme="minorHAnsi" w:cs="Calibri"/>
        </w:rPr>
      </w:pPr>
      <w:r w:rsidRPr="00BA4CB7">
        <w:rPr>
          <w:rFonts w:asciiTheme="minorHAnsi" w:hAnsiTheme="minorHAnsi" w:cs="Calibri"/>
        </w:rPr>
        <w:t>This is a great book for looking up and interpreting tests. Ranges are given, the purpose of each test given and an explanation of what to look out for (red flags). This is general medicine as opposed to specifically related to respiratory disease; however the respiratory sections are an excellent quick reference without unnecessary repetition. Also, the vast majority of patients (especially COPD/emphysema/bronchiectasis) have several comorbidities and other potential issues – frequently pulmonary. The pages specific to Chest Medicine are 154-195 (Chapter 4).</w:t>
      </w:r>
    </w:p>
    <w:p w14:paraId="6F491C4E" w14:textId="62CFDF29" w:rsidR="009C5A58" w:rsidRDefault="009C5A58" w:rsidP="00A11183">
      <w:pPr>
        <w:rPr>
          <w:rFonts w:asciiTheme="minorHAnsi" w:hAnsiTheme="minorHAnsi" w:cs="Calibri"/>
        </w:rPr>
      </w:pPr>
    </w:p>
    <w:p w14:paraId="5BB1076D" w14:textId="573E6F8A" w:rsidR="009C5A58" w:rsidRPr="009C5A58" w:rsidRDefault="009C5A58" w:rsidP="00A11183">
      <w:pPr>
        <w:rPr>
          <w:rFonts w:asciiTheme="minorHAnsi" w:hAnsiTheme="minorHAnsi" w:cs="Calibri"/>
          <w:u w:val="single"/>
        </w:rPr>
      </w:pPr>
      <w:r w:rsidRPr="009C5A58">
        <w:rPr>
          <w:rFonts w:asciiTheme="minorHAnsi" w:hAnsiTheme="minorHAnsi" w:cs="Calibri"/>
          <w:u w:val="single"/>
        </w:rPr>
        <w:t>Reference 5:</w:t>
      </w:r>
    </w:p>
    <w:p w14:paraId="1149D967" w14:textId="5925F6D8" w:rsidR="009C5A58" w:rsidRDefault="009C5A58" w:rsidP="00A11183">
      <w:pPr>
        <w:rPr>
          <w:rFonts w:asciiTheme="minorHAnsi" w:hAnsiTheme="minorHAnsi" w:cs="Calibri"/>
        </w:rPr>
      </w:pPr>
    </w:p>
    <w:p w14:paraId="207B9FAD" w14:textId="749CF751" w:rsidR="009C5A58" w:rsidRDefault="009C5A58" w:rsidP="009C5A58">
      <w:pPr>
        <w:jc w:val="both"/>
        <w:rPr>
          <w:rFonts w:asciiTheme="minorHAnsi" w:hAnsiTheme="minorHAnsi" w:cs="Calibri"/>
        </w:rPr>
      </w:pPr>
      <w:r w:rsidRPr="00BA4CB7">
        <w:rPr>
          <w:rFonts w:asciiTheme="minorHAnsi" w:hAnsiTheme="minorHAnsi" w:cs="Calibri"/>
        </w:rPr>
        <w:t xml:space="preserve">HOFFBRAND, A. and MOSS, P.  (2016) Chronic Myeloid Leukaemia. In: HOFFBRAND, A. and MOSS, P. </w:t>
      </w:r>
      <w:proofErr w:type="spellStart"/>
      <w:r w:rsidRPr="00BA4CB7">
        <w:rPr>
          <w:rFonts w:asciiTheme="minorHAnsi" w:hAnsiTheme="minorHAnsi" w:cs="Calibri"/>
          <w:i/>
        </w:rPr>
        <w:t>Hoffbrand’s</w:t>
      </w:r>
      <w:proofErr w:type="spellEnd"/>
      <w:r w:rsidRPr="00BA4CB7">
        <w:rPr>
          <w:rFonts w:asciiTheme="minorHAnsi" w:hAnsiTheme="minorHAnsi" w:cs="Calibri"/>
          <w:i/>
        </w:rPr>
        <w:t xml:space="preserve"> Essential Haematology</w:t>
      </w:r>
      <w:r w:rsidRPr="00BA4CB7">
        <w:rPr>
          <w:rFonts w:asciiTheme="minorHAnsi" w:hAnsiTheme="minorHAnsi" w:cs="Calibri"/>
        </w:rPr>
        <w:t>. 7</w:t>
      </w:r>
      <w:r w:rsidRPr="00BA4CB7">
        <w:rPr>
          <w:rFonts w:asciiTheme="minorHAnsi" w:hAnsiTheme="minorHAnsi" w:cs="Calibri"/>
          <w:vertAlign w:val="superscript"/>
        </w:rPr>
        <w:t>th</w:t>
      </w:r>
      <w:r w:rsidRPr="00BA4CB7">
        <w:rPr>
          <w:rFonts w:asciiTheme="minorHAnsi" w:hAnsiTheme="minorHAnsi" w:cs="Calibri"/>
        </w:rPr>
        <w:t xml:space="preserve"> ed.  Chichester: Wiley-Blackwell, pp156-164.</w:t>
      </w:r>
    </w:p>
    <w:p w14:paraId="44C8CB72" w14:textId="6631B957" w:rsidR="009C5A58" w:rsidRDefault="009C5A58" w:rsidP="00A11183">
      <w:pPr>
        <w:rPr>
          <w:rFonts w:asciiTheme="minorHAnsi" w:hAnsiTheme="minorHAnsi" w:cs="Calibri"/>
        </w:rPr>
      </w:pPr>
    </w:p>
    <w:p w14:paraId="619C3B60" w14:textId="77777777" w:rsidR="009C5A58" w:rsidRPr="009C5A58" w:rsidRDefault="009C5A58" w:rsidP="009C5A58">
      <w:pPr>
        <w:rPr>
          <w:rFonts w:asciiTheme="minorHAnsi" w:hAnsiTheme="minorHAnsi"/>
          <w:u w:val="single"/>
        </w:rPr>
      </w:pPr>
      <w:r w:rsidRPr="009C5A58">
        <w:rPr>
          <w:rFonts w:asciiTheme="minorHAnsi" w:hAnsiTheme="minorHAnsi"/>
          <w:u w:val="single"/>
        </w:rPr>
        <w:t>What you have learned:</w:t>
      </w:r>
    </w:p>
    <w:p w14:paraId="1CA03226" w14:textId="0005F375" w:rsidR="009C5A58" w:rsidRDefault="009C5A58" w:rsidP="00A11183">
      <w:pPr>
        <w:rPr>
          <w:rFonts w:asciiTheme="minorHAnsi" w:hAnsiTheme="minorHAnsi"/>
        </w:rPr>
      </w:pPr>
    </w:p>
    <w:p w14:paraId="279E0D63" w14:textId="77777777" w:rsidR="009C5A58" w:rsidRPr="00BA4CB7" w:rsidRDefault="009C5A58" w:rsidP="009C5A58">
      <w:pPr>
        <w:jc w:val="both"/>
        <w:rPr>
          <w:rFonts w:asciiTheme="minorHAnsi" w:hAnsiTheme="minorHAnsi" w:cs="Calibri"/>
        </w:rPr>
      </w:pPr>
      <w:r w:rsidRPr="00BA4CB7">
        <w:rPr>
          <w:rFonts w:asciiTheme="minorHAnsi" w:hAnsiTheme="minorHAnsi" w:cs="Calibri"/>
        </w:rPr>
        <w:t>A text book intended for medical undergraduates.  Includes an overview of CML covering clinical features and treatment, giving a description of the mechanism of action and side effects of the main medicines used and the definition of response to first line treatment.  Also includes an explanation of the laboratory methods used in diagnosis and monitoring, such as karyotyping and FISH analysis.</w:t>
      </w:r>
    </w:p>
    <w:p w14:paraId="7F59805B" w14:textId="77777777" w:rsidR="009C5A58" w:rsidRDefault="009C5A58" w:rsidP="00A11183">
      <w:pPr>
        <w:rPr>
          <w:rFonts w:asciiTheme="minorHAnsi" w:hAnsiTheme="minorHAnsi"/>
        </w:rPr>
      </w:pPr>
    </w:p>
    <w:p w14:paraId="24AA0CAC" w14:textId="77777777" w:rsidR="009C5A58" w:rsidRDefault="009C5A58" w:rsidP="00A11183">
      <w:pPr>
        <w:rPr>
          <w:rFonts w:asciiTheme="minorHAnsi" w:hAnsiTheme="minorHAnsi"/>
          <w:b/>
        </w:rPr>
      </w:pPr>
    </w:p>
    <w:p w14:paraId="11F88D33" w14:textId="318DB6C9" w:rsidR="004A3DA1" w:rsidRPr="004A3DA1" w:rsidRDefault="00957FC0" w:rsidP="00A11183">
      <w:pPr>
        <w:rPr>
          <w:rFonts w:asciiTheme="minorHAnsi" w:hAnsiTheme="minorHAnsi"/>
          <w:b/>
        </w:rPr>
      </w:pPr>
      <w:r>
        <w:rPr>
          <w:rFonts w:asciiTheme="minorHAnsi" w:hAnsiTheme="minorHAnsi"/>
          <w:b/>
        </w:rPr>
        <w:lastRenderedPageBreak/>
        <w:t>Section 1b</w:t>
      </w:r>
      <w:r w:rsidR="004A3DA1">
        <w:rPr>
          <w:rFonts w:asciiTheme="minorHAnsi" w:hAnsiTheme="minorHAnsi"/>
          <w:b/>
        </w:rPr>
        <w:t>: Summary of the therapeutic use of drugs</w:t>
      </w:r>
    </w:p>
    <w:p w14:paraId="2B76CB7D" w14:textId="77777777" w:rsidR="004A3DA1" w:rsidRDefault="004A3DA1" w:rsidP="00A11183">
      <w:pPr>
        <w:rPr>
          <w:rFonts w:asciiTheme="minorHAnsi" w:hAnsiTheme="minorHAnsi"/>
          <w:i/>
        </w:rPr>
      </w:pPr>
    </w:p>
    <w:p w14:paraId="47859800" w14:textId="6A417D50" w:rsidR="003363C1" w:rsidRPr="00957FC0" w:rsidRDefault="003363C1" w:rsidP="003363C1">
      <w:pPr>
        <w:rPr>
          <w:rFonts w:asciiTheme="minorHAnsi" w:hAnsiTheme="minorHAnsi"/>
          <w:i/>
        </w:rPr>
      </w:pPr>
      <w:r>
        <w:rPr>
          <w:rFonts w:asciiTheme="minorHAnsi" w:hAnsiTheme="minorHAnsi"/>
          <w:i/>
        </w:rPr>
        <w:t>S</w:t>
      </w:r>
      <w:r w:rsidR="00A11183" w:rsidRPr="004A3DA1">
        <w:rPr>
          <w:rFonts w:asciiTheme="minorHAnsi" w:hAnsiTheme="minorHAnsi"/>
          <w:i/>
        </w:rPr>
        <w:t>ummarise the therapeutic use of the drugs that you will prescribe</w:t>
      </w:r>
      <w:r>
        <w:rPr>
          <w:rFonts w:asciiTheme="minorHAnsi" w:hAnsiTheme="minorHAnsi"/>
          <w:i/>
        </w:rPr>
        <w:t xml:space="preserve"> using the headings below. </w:t>
      </w: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w:t>
      </w:r>
      <w:r>
        <w:rPr>
          <w:rFonts w:asciiTheme="minorHAnsi" w:hAnsiTheme="minorHAnsi"/>
          <w:i/>
        </w:rPr>
        <w:t xml:space="preserve">to cover all the groups of drugs and drugs in your </w:t>
      </w:r>
      <w:r w:rsidR="008A343C">
        <w:rPr>
          <w:rFonts w:asciiTheme="minorHAnsi" w:hAnsiTheme="minorHAnsi"/>
          <w:i/>
        </w:rPr>
        <w:t>scope</w:t>
      </w:r>
      <w:r w:rsidRPr="00957FC0">
        <w:rPr>
          <w:rFonts w:asciiTheme="minorHAnsi" w:hAnsiTheme="minorHAnsi"/>
          <w:i/>
        </w:rPr>
        <w:t>)</w:t>
      </w:r>
      <w:r w:rsidR="008A343C">
        <w:rPr>
          <w:rFonts w:asciiTheme="minorHAnsi" w:hAnsiTheme="minorHAnsi"/>
          <w:i/>
        </w:rPr>
        <w:t>.</w:t>
      </w:r>
    </w:p>
    <w:p w14:paraId="38337F77" w14:textId="1B026FBE" w:rsidR="00A11183" w:rsidRDefault="00A11183" w:rsidP="00A11183">
      <w:pPr>
        <w:rPr>
          <w:rFonts w:asciiTheme="minorHAnsi" w:hAnsiTheme="minorHAnsi"/>
          <w:i/>
        </w:rPr>
      </w:pPr>
    </w:p>
    <w:p w14:paraId="700BEDC2" w14:textId="14AD3100" w:rsidR="00957FC0" w:rsidRDefault="00957FC0" w:rsidP="00A11183">
      <w:pPr>
        <w:rPr>
          <w:rFonts w:asciiTheme="minorHAnsi" w:hAnsiTheme="minorHAnsi"/>
          <w:i/>
        </w:rPr>
      </w:pPr>
    </w:p>
    <w:p w14:paraId="533D9ADA" w14:textId="3635F6B9" w:rsidR="00957FC0" w:rsidRDefault="00957FC0" w:rsidP="00A11183">
      <w:pPr>
        <w:rPr>
          <w:rFonts w:asciiTheme="minorHAnsi" w:hAnsiTheme="minorHAnsi"/>
          <w:u w:val="single"/>
        </w:rPr>
      </w:pPr>
      <w:r w:rsidRPr="00D8498B">
        <w:rPr>
          <w:rFonts w:asciiTheme="minorHAnsi" w:hAnsiTheme="minorHAnsi"/>
          <w:u w:val="single"/>
        </w:rPr>
        <w:t>Drug group and individual agents:</w:t>
      </w:r>
    </w:p>
    <w:p w14:paraId="4F46F05F" w14:textId="6F804C31" w:rsidR="00D8498B" w:rsidRDefault="00D8498B" w:rsidP="00A11183">
      <w:pPr>
        <w:rPr>
          <w:rFonts w:asciiTheme="minorHAnsi" w:hAnsiTheme="minorHAnsi"/>
          <w:u w:val="single"/>
        </w:rPr>
      </w:pPr>
    </w:p>
    <w:p w14:paraId="27F7F248" w14:textId="52D8C544" w:rsidR="00D8498B" w:rsidRPr="00D8498B" w:rsidRDefault="00D8498B" w:rsidP="00A11183">
      <w:pPr>
        <w:rPr>
          <w:rFonts w:asciiTheme="minorHAnsi" w:hAnsiTheme="minorHAnsi"/>
        </w:rPr>
      </w:pPr>
      <w:r>
        <w:rPr>
          <w:rFonts w:asciiTheme="minorHAnsi" w:hAnsiTheme="minorHAnsi"/>
        </w:rPr>
        <w:t>Nilotinib</w:t>
      </w:r>
    </w:p>
    <w:p w14:paraId="78D15E31" w14:textId="0D846FEB" w:rsidR="003363C1" w:rsidRDefault="003363C1" w:rsidP="00A11183">
      <w:pPr>
        <w:rPr>
          <w:rFonts w:asciiTheme="minorHAnsi" w:hAnsiTheme="minorHAnsi"/>
          <w:u w:val="single"/>
        </w:rPr>
      </w:pPr>
    </w:p>
    <w:p w14:paraId="09B3E966" w14:textId="5F91BCC7" w:rsidR="003363C1" w:rsidRDefault="003363C1" w:rsidP="00A11183">
      <w:pPr>
        <w:rPr>
          <w:rFonts w:asciiTheme="minorHAnsi" w:hAnsiTheme="minorHAnsi"/>
          <w:u w:val="single"/>
        </w:rPr>
      </w:pPr>
      <w:r w:rsidRPr="00D8498B">
        <w:rPr>
          <w:rFonts w:asciiTheme="minorHAnsi" w:hAnsiTheme="minorHAnsi"/>
          <w:u w:val="single"/>
        </w:rPr>
        <w:t xml:space="preserve">Notes on </w:t>
      </w:r>
      <w:r w:rsidR="009B1EEF" w:rsidRPr="00D8498B">
        <w:rPr>
          <w:rFonts w:asciiTheme="minorHAnsi" w:hAnsiTheme="minorHAnsi"/>
          <w:u w:val="single"/>
        </w:rPr>
        <w:t>evidence-based</w:t>
      </w:r>
      <w:r w:rsidRPr="00D8498B">
        <w:rPr>
          <w:rFonts w:asciiTheme="minorHAnsi" w:hAnsiTheme="minorHAnsi"/>
          <w:u w:val="single"/>
        </w:rPr>
        <w:t xml:space="preserve"> indications:</w:t>
      </w:r>
    </w:p>
    <w:p w14:paraId="75040E3C" w14:textId="37A2FBE0" w:rsidR="00D8498B" w:rsidRDefault="00D8498B" w:rsidP="00A11183">
      <w:pPr>
        <w:rPr>
          <w:rFonts w:asciiTheme="minorHAnsi" w:hAnsiTheme="minorHAnsi"/>
          <w:u w:val="single"/>
        </w:rPr>
      </w:pPr>
    </w:p>
    <w:p w14:paraId="2214EFF4" w14:textId="77777777" w:rsidR="00D8498B" w:rsidRPr="00BA1153" w:rsidRDefault="00D8498B" w:rsidP="00BA1153">
      <w:pPr>
        <w:pStyle w:val="ListParagraph"/>
        <w:numPr>
          <w:ilvl w:val="0"/>
          <w:numId w:val="13"/>
        </w:numPr>
        <w:rPr>
          <w:rFonts w:asciiTheme="minorHAnsi" w:hAnsiTheme="minorHAnsi" w:cs="Arial"/>
          <w:color w:val="000000"/>
          <w:shd w:val="clear" w:color="auto" w:fill="FFFFFF"/>
        </w:rPr>
      </w:pPr>
      <w:r w:rsidRPr="00BA1153">
        <w:rPr>
          <w:rFonts w:asciiTheme="minorHAnsi" w:hAnsiTheme="minorHAnsi" w:cs="Arial"/>
          <w:color w:val="000000"/>
          <w:shd w:val="clear" w:color="auto" w:fill="FFFFFF"/>
        </w:rPr>
        <w:t>Licensed indications in therapeutic area:</w:t>
      </w:r>
    </w:p>
    <w:p w14:paraId="56812516" w14:textId="77777777" w:rsidR="00D8498B" w:rsidRPr="00BA1153" w:rsidRDefault="00D8498B" w:rsidP="00BA1153">
      <w:pPr>
        <w:pStyle w:val="ListParagraph"/>
        <w:numPr>
          <w:ilvl w:val="0"/>
          <w:numId w:val="13"/>
        </w:numPr>
        <w:rPr>
          <w:rFonts w:asciiTheme="minorHAnsi" w:hAnsiTheme="minorHAnsi" w:cs="Calibri"/>
        </w:rPr>
      </w:pPr>
      <w:r w:rsidRPr="00BA1153">
        <w:rPr>
          <w:rFonts w:asciiTheme="minorHAnsi" w:hAnsiTheme="minorHAnsi" w:cs="Calibri"/>
        </w:rPr>
        <w:t>Newly diagnosed Ph+ CML in the chronic phase.</w:t>
      </w:r>
    </w:p>
    <w:p w14:paraId="35BD89DA" w14:textId="77777777" w:rsidR="00D8498B" w:rsidRPr="00BA1153" w:rsidRDefault="00D8498B" w:rsidP="00BA1153">
      <w:pPr>
        <w:pStyle w:val="ListParagraph"/>
        <w:numPr>
          <w:ilvl w:val="0"/>
          <w:numId w:val="13"/>
        </w:numPr>
        <w:rPr>
          <w:rFonts w:asciiTheme="minorHAnsi" w:hAnsiTheme="minorHAnsi" w:cs="Calibri"/>
        </w:rPr>
      </w:pPr>
      <w:r w:rsidRPr="00BA1153">
        <w:rPr>
          <w:rFonts w:asciiTheme="minorHAnsi" w:hAnsiTheme="minorHAnsi" w:cs="Calibri"/>
        </w:rPr>
        <w:t>Chronic phase and accelerated phase Ph+ CML with resistance or intolerance to prior therapy including imatinib.</w:t>
      </w:r>
    </w:p>
    <w:p w14:paraId="02A57F65" w14:textId="119340BB" w:rsidR="00D8498B" w:rsidRPr="00BA1153" w:rsidRDefault="00D8498B" w:rsidP="00BA1153">
      <w:pPr>
        <w:pStyle w:val="ListParagraph"/>
        <w:numPr>
          <w:ilvl w:val="0"/>
          <w:numId w:val="13"/>
        </w:numPr>
        <w:rPr>
          <w:rFonts w:asciiTheme="minorHAnsi" w:hAnsiTheme="minorHAnsi"/>
          <w:u w:val="single"/>
        </w:rPr>
      </w:pPr>
      <w:r w:rsidRPr="00BA1153">
        <w:rPr>
          <w:rFonts w:asciiTheme="minorHAnsi" w:hAnsiTheme="minorHAnsi" w:cs="Calibri"/>
        </w:rPr>
        <w:t>(Not licensed for blast crisis or other non-CML indications.)</w:t>
      </w:r>
    </w:p>
    <w:p w14:paraId="060D8C57" w14:textId="77777777" w:rsidR="003363C1" w:rsidRPr="00D8498B" w:rsidRDefault="003363C1" w:rsidP="00A11183">
      <w:pPr>
        <w:rPr>
          <w:rFonts w:asciiTheme="minorHAnsi" w:hAnsiTheme="minorHAnsi"/>
          <w:u w:val="single"/>
        </w:rPr>
      </w:pPr>
    </w:p>
    <w:p w14:paraId="4767B8C9" w14:textId="6446B439" w:rsidR="003363C1" w:rsidRDefault="003363C1" w:rsidP="003363C1">
      <w:pPr>
        <w:rPr>
          <w:rFonts w:asciiTheme="minorHAnsi" w:hAnsiTheme="minorHAnsi"/>
          <w:u w:val="single"/>
        </w:rPr>
      </w:pPr>
      <w:r w:rsidRPr="00D8498B">
        <w:rPr>
          <w:rFonts w:asciiTheme="minorHAnsi" w:hAnsiTheme="minorHAnsi"/>
          <w:u w:val="single"/>
        </w:rPr>
        <w:t>Notes on contraindications and drug/drug and drug/disease interactions:</w:t>
      </w:r>
    </w:p>
    <w:p w14:paraId="077CCAF3" w14:textId="59827064" w:rsidR="00D8498B" w:rsidRDefault="00D8498B" w:rsidP="003363C1">
      <w:pPr>
        <w:rPr>
          <w:rFonts w:asciiTheme="minorHAnsi" w:hAnsiTheme="minorHAnsi"/>
          <w:u w:val="single"/>
        </w:rPr>
      </w:pPr>
    </w:p>
    <w:p w14:paraId="3A09535E" w14:textId="77777777" w:rsidR="00D8498B" w:rsidRP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No contraindications except hypersensitivity to active substance or excipients, including lactose.</w:t>
      </w:r>
    </w:p>
    <w:p w14:paraId="510C5C3E" w14:textId="77777777" w:rsidR="00D8498B" w:rsidRP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Caution in patients who have or are at significant risk of developing QT-interval prolongation, e.g. patients with congenital long QT prolongation, patients with uncontrolled or significant cardiac disease, patients taking anti-arrhythmic medication or medicines with known potential to prolong QT, and in presence of hypokalaemia or hypomagnesaemia.</w:t>
      </w:r>
    </w:p>
    <w:p w14:paraId="20D66034" w14:textId="77777777" w:rsidR="00D8498B" w:rsidRP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 xml:space="preserve">Patients with risk factors or a history of cardiac disease should be monitored carefully for clinical signs or symptoms of cardiac dysfunction as they are at increased risk of cardiac adverse reactions.  </w:t>
      </w:r>
    </w:p>
    <w:p w14:paraId="2ACAFE4E" w14:textId="77777777" w:rsidR="00D8498B" w:rsidRP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Caution in patients with history of pancreatitis.</w:t>
      </w:r>
    </w:p>
    <w:p w14:paraId="76031FB7" w14:textId="237D5236" w:rsidR="00D8498B" w:rsidRP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Not recommended in breast-feeding (low exposure but high ri</w:t>
      </w:r>
      <w:r w:rsidR="00BA1153" w:rsidRPr="00BA1153">
        <w:rPr>
          <w:rFonts w:asciiTheme="minorHAnsi" w:hAnsiTheme="minorHAnsi" w:cs="Calibri"/>
        </w:rPr>
        <w:t>sk to baby) N</w:t>
      </w:r>
      <w:r w:rsidRPr="00BA1153">
        <w:rPr>
          <w:rFonts w:asciiTheme="minorHAnsi" w:hAnsiTheme="minorHAnsi" w:cs="Calibri"/>
        </w:rPr>
        <w:t>ot recommended in conception or pregnancy due to toxicity – there is good evidence that in chronic CML in good response for 2 years nilotinib can be put on hold for the duration of pregnancy.  This would require referral to and close monitoring by a consultant haematologist.</w:t>
      </w:r>
    </w:p>
    <w:p w14:paraId="1145B21D" w14:textId="77777777" w:rsidR="00D8498B" w:rsidRP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 xml:space="preserve">Diabetic control can </w:t>
      </w:r>
      <w:r w:rsidRPr="00BA1153">
        <w:rPr>
          <w:rFonts w:asciiTheme="minorHAnsi" w:hAnsiTheme="minorHAnsi" w:cs="Calibri"/>
          <w:i/>
        </w:rPr>
        <w:t>worsen</w:t>
      </w:r>
      <w:r w:rsidRPr="00BA1153">
        <w:rPr>
          <w:rFonts w:asciiTheme="minorHAnsi" w:hAnsiTheme="minorHAnsi" w:cs="Calibri"/>
        </w:rPr>
        <w:t xml:space="preserve"> while on nilotinib.</w:t>
      </w:r>
    </w:p>
    <w:p w14:paraId="1AB7D4FF" w14:textId="77777777" w:rsid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No dose change required for renal insufficiency.</w:t>
      </w:r>
    </w:p>
    <w:p w14:paraId="36B9BE92" w14:textId="7509F98F" w:rsidR="003363C1" w:rsidRPr="00BA1153" w:rsidRDefault="00D8498B" w:rsidP="00BA1153">
      <w:pPr>
        <w:pStyle w:val="ListParagraph"/>
        <w:numPr>
          <w:ilvl w:val="0"/>
          <w:numId w:val="14"/>
        </w:numPr>
        <w:jc w:val="both"/>
        <w:rPr>
          <w:rFonts w:asciiTheme="minorHAnsi" w:hAnsiTheme="minorHAnsi" w:cs="Calibri"/>
        </w:rPr>
      </w:pPr>
      <w:r w:rsidRPr="00BA1153">
        <w:rPr>
          <w:rFonts w:asciiTheme="minorHAnsi" w:hAnsiTheme="minorHAnsi" w:cs="Calibri"/>
        </w:rPr>
        <w:t>Hepatically metabolized therefore use with caution in liver impairment.</w:t>
      </w:r>
    </w:p>
    <w:p w14:paraId="2AADD12C" w14:textId="77777777" w:rsidR="00A11183" w:rsidRPr="004A3DA1" w:rsidRDefault="00A11183" w:rsidP="00A11183">
      <w:pPr>
        <w:rPr>
          <w:rFonts w:asciiTheme="minorHAnsi" w:hAnsiTheme="minorHAnsi"/>
          <w:i/>
        </w:rPr>
      </w:pPr>
    </w:p>
    <w:p w14:paraId="693E4FC3" w14:textId="77777777" w:rsidR="00A11183" w:rsidRPr="00F11B48" w:rsidRDefault="00A11183" w:rsidP="00A11183">
      <w:pPr>
        <w:rPr>
          <w:rFonts w:asciiTheme="minorHAnsi" w:hAnsiTheme="minorHAnsi"/>
        </w:rPr>
      </w:pPr>
    </w:p>
    <w:p w14:paraId="09D8657F" w14:textId="1972F05D" w:rsidR="00A11183" w:rsidRDefault="00A11183" w:rsidP="00A11183">
      <w:pPr>
        <w:rPr>
          <w:rFonts w:asciiTheme="minorHAnsi" w:hAnsiTheme="minorHAnsi"/>
        </w:rPr>
      </w:pPr>
    </w:p>
    <w:p w14:paraId="697BDC53" w14:textId="4FC0535D" w:rsidR="00BA1153" w:rsidRDefault="00BA1153" w:rsidP="00A11183">
      <w:pPr>
        <w:rPr>
          <w:rFonts w:asciiTheme="minorHAnsi" w:hAnsiTheme="minorHAnsi"/>
        </w:rPr>
      </w:pPr>
    </w:p>
    <w:p w14:paraId="204AF040" w14:textId="75EF9C71" w:rsidR="00BA1153" w:rsidRDefault="00BA1153" w:rsidP="00A11183">
      <w:pPr>
        <w:rPr>
          <w:rFonts w:asciiTheme="minorHAnsi" w:hAnsiTheme="minorHAnsi"/>
        </w:rPr>
      </w:pPr>
    </w:p>
    <w:p w14:paraId="0451890D" w14:textId="77777777" w:rsidR="00BA1153" w:rsidRPr="00F11B48" w:rsidRDefault="00BA1153" w:rsidP="00A11183">
      <w:pPr>
        <w:rPr>
          <w:rFonts w:asciiTheme="minorHAnsi" w:hAnsiTheme="minorHAnsi"/>
        </w:rPr>
      </w:pPr>
    </w:p>
    <w:p w14:paraId="4DBA71DB" w14:textId="77777777" w:rsidR="00A11183" w:rsidRPr="00F11B48" w:rsidRDefault="00A11183" w:rsidP="00A11183">
      <w:pPr>
        <w:rPr>
          <w:rFonts w:asciiTheme="minorHAnsi" w:hAnsiTheme="minorHAnsi"/>
        </w:rPr>
      </w:pPr>
    </w:p>
    <w:p w14:paraId="4CBC5C79" w14:textId="766CF910" w:rsidR="00D8498B" w:rsidRDefault="00D8498B" w:rsidP="00D8498B">
      <w:pPr>
        <w:rPr>
          <w:rFonts w:asciiTheme="minorHAnsi" w:hAnsiTheme="minorHAnsi"/>
          <w:u w:val="single"/>
        </w:rPr>
      </w:pPr>
      <w:r w:rsidRPr="00D8498B">
        <w:rPr>
          <w:rFonts w:asciiTheme="minorHAnsi" w:hAnsiTheme="minorHAnsi"/>
          <w:u w:val="single"/>
        </w:rPr>
        <w:lastRenderedPageBreak/>
        <w:t>Drug group and individual agents:</w:t>
      </w:r>
    </w:p>
    <w:p w14:paraId="4D9BD95E" w14:textId="6EEEBD0B" w:rsidR="001B12A8" w:rsidRDefault="001B12A8" w:rsidP="00D8498B">
      <w:pPr>
        <w:rPr>
          <w:rFonts w:asciiTheme="minorHAnsi" w:hAnsiTheme="minorHAnsi"/>
          <w:u w:val="single"/>
        </w:rPr>
      </w:pPr>
    </w:p>
    <w:p w14:paraId="65AA870C" w14:textId="4E1EB7B1" w:rsidR="001B12A8" w:rsidRPr="00BA4CB7" w:rsidRDefault="001B12A8" w:rsidP="001B12A8">
      <w:pPr>
        <w:rPr>
          <w:rFonts w:asciiTheme="minorHAnsi" w:hAnsiTheme="minorHAnsi" w:cs="Calibri"/>
        </w:rPr>
      </w:pPr>
      <w:r w:rsidRPr="00BA4CB7">
        <w:rPr>
          <w:rFonts w:asciiTheme="minorHAnsi" w:hAnsiTheme="minorHAnsi" w:cs="Calibri"/>
        </w:rPr>
        <w:t>I</w:t>
      </w:r>
      <w:r>
        <w:rPr>
          <w:rFonts w:asciiTheme="minorHAnsi" w:hAnsiTheme="minorHAnsi" w:cs="Calibri"/>
        </w:rPr>
        <w:t>nhaled Corticosteroid (I</w:t>
      </w:r>
      <w:r w:rsidRPr="00BA4CB7">
        <w:rPr>
          <w:rFonts w:asciiTheme="minorHAnsi" w:hAnsiTheme="minorHAnsi" w:cs="Calibri"/>
        </w:rPr>
        <w:t>CS</w:t>
      </w:r>
      <w:r>
        <w:rPr>
          <w:rFonts w:asciiTheme="minorHAnsi" w:hAnsiTheme="minorHAnsi" w:cs="Calibri"/>
        </w:rPr>
        <w:t>)</w:t>
      </w:r>
      <w:r w:rsidRPr="00BA4CB7">
        <w:rPr>
          <w:rFonts w:asciiTheme="minorHAnsi" w:hAnsiTheme="minorHAnsi" w:cs="Calibri"/>
        </w:rPr>
        <w:t xml:space="preserve"> e.g. budesonide, </w:t>
      </w:r>
      <w:proofErr w:type="spellStart"/>
      <w:r w:rsidRPr="00BA4CB7">
        <w:rPr>
          <w:rFonts w:asciiTheme="minorHAnsi" w:hAnsiTheme="minorHAnsi" w:cs="Calibri"/>
        </w:rPr>
        <w:t>beclometasone</w:t>
      </w:r>
      <w:proofErr w:type="spellEnd"/>
      <w:r w:rsidRPr="00BA4CB7">
        <w:rPr>
          <w:rFonts w:asciiTheme="minorHAnsi" w:hAnsiTheme="minorHAnsi" w:cs="Calibri"/>
        </w:rPr>
        <w:t>,</w:t>
      </w:r>
      <w:r>
        <w:rPr>
          <w:rFonts w:asciiTheme="minorHAnsi" w:hAnsiTheme="minorHAnsi" w:cs="Calibri"/>
        </w:rPr>
        <w:t xml:space="preserve"> </w:t>
      </w:r>
      <w:r w:rsidRPr="00BA4CB7">
        <w:rPr>
          <w:rFonts w:asciiTheme="minorHAnsi" w:hAnsiTheme="minorHAnsi" w:cs="Calibri"/>
        </w:rPr>
        <w:t xml:space="preserve">fluticasone, </w:t>
      </w:r>
      <w:proofErr w:type="spellStart"/>
      <w:r w:rsidRPr="00BA4CB7">
        <w:rPr>
          <w:rFonts w:asciiTheme="minorHAnsi" w:hAnsiTheme="minorHAnsi" w:cs="Calibri"/>
        </w:rPr>
        <w:t>ciclesonide</w:t>
      </w:r>
      <w:proofErr w:type="spellEnd"/>
      <w:r w:rsidRPr="00BA4CB7">
        <w:rPr>
          <w:rFonts w:asciiTheme="minorHAnsi" w:hAnsiTheme="minorHAnsi" w:cs="Calibri"/>
        </w:rPr>
        <w:t>.</w:t>
      </w:r>
    </w:p>
    <w:p w14:paraId="71346BFD" w14:textId="77777777" w:rsidR="00D8498B" w:rsidRPr="00D8498B" w:rsidRDefault="00D8498B" w:rsidP="00D8498B">
      <w:pPr>
        <w:rPr>
          <w:rFonts w:asciiTheme="minorHAnsi" w:hAnsiTheme="minorHAnsi"/>
          <w:u w:val="single"/>
        </w:rPr>
      </w:pPr>
    </w:p>
    <w:p w14:paraId="031FC78B" w14:textId="5FD32107" w:rsidR="00D8498B" w:rsidRDefault="00D8498B" w:rsidP="00D8498B">
      <w:pPr>
        <w:rPr>
          <w:rFonts w:asciiTheme="minorHAnsi" w:hAnsiTheme="minorHAnsi"/>
          <w:u w:val="single"/>
        </w:rPr>
      </w:pPr>
      <w:r w:rsidRPr="00D8498B">
        <w:rPr>
          <w:rFonts w:asciiTheme="minorHAnsi" w:hAnsiTheme="minorHAnsi"/>
          <w:u w:val="single"/>
        </w:rPr>
        <w:t>Notes on evidence-based indications:</w:t>
      </w:r>
    </w:p>
    <w:p w14:paraId="41A6E687" w14:textId="3AE6B2D8" w:rsidR="001B12A8" w:rsidRDefault="001B12A8" w:rsidP="00D8498B">
      <w:pPr>
        <w:rPr>
          <w:rFonts w:asciiTheme="minorHAnsi" w:hAnsiTheme="minorHAnsi"/>
          <w:u w:val="single"/>
        </w:rPr>
      </w:pPr>
    </w:p>
    <w:p w14:paraId="3F67CE3A" w14:textId="0C5F6509" w:rsidR="001B12A8" w:rsidRPr="00D8498B" w:rsidRDefault="001B12A8" w:rsidP="00D8498B">
      <w:pPr>
        <w:rPr>
          <w:rFonts w:asciiTheme="minorHAnsi" w:hAnsiTheme="minorHAnsi"/>
          <w:u w:val="single"/>
        </w:rPr>
      </w:pPr>
      <w:r w:rsidRPr="00BA4CB7">
        <w:rPr>
          <w:rFonts w:asciiTheme="minorHAnsi" w:hAnsiTheme="minorHAnsi" w:cs="Calibri"/>
        </w:rPr>
        <w:t>The steroid is the mainstay of asthma treatment (BTS Step 2). A LABA is added if the patient needs Step 3 treatment. LAMAs can also now be used as add-on to ICS+LABA.</w:t>
      </w:r>
    </w:p>
    <w:p w14:paraId="7536D212" w14:textId="77777777" w:rsidR="00D8498B" w:rsidRPr="00D8498B" w:rsidRDefault="00D8498B" w:rsidP="00D8498B">
      <w:pPr>
        <w:rPr>
          <w:rFonts w:asciiTheme="minorHAnsi" w:hAnsiTheme="minorHAnsi"/>
          <w:u w:val="single"/>
        </w:rPr>
      </w:pPr>
    </w:p>
    <w:p w14:paraId="5325EDAF" w14:textId="722A3F91" w:rsidR="00D8498B" w:rsidRDefault="00D8498B" w:rsidP="00D8498B">
      <w:pPr>
        <w:rPr>
          <w:rFonts w:asciiTheme="minorHAnsi" w:hAnsiTheme="minorHAnsi"/>
          <w:u w:val="single"/>
        </w:rPr>
      </w:pPr>
      <w:r w:rsidRPr="00D8498B">
        <w:rPr>
          <w:rFonts w:asciiTheme="minorHAnsi" w:hAnsiTheme="minorHAnsi"/>
          <w:u w:val="single"/>
        </w:rPr>
        <w:t>Notes on contraindications and drug/drug and drug/disease interactions:</w:t>
      </w:r>
    </w:p>
    <w:p w14:paraId="59D58FCA" w14:textId="70FA2ACC" w:rsidR="001B12A8" w:rsidRDefault="001B12A8" w:rsidP="00D8498B">
      <w:pPr>
        <w:rPr>
          <w:rFonts w:asciiTheme="minorHAnsi" w:hAnsiTheme="minorHAnsi"/>
          <w:u w:val="single"/>
        </w:rPr>
      </w:pPr>
    </w:p>
    <w:p w14:paraId="361A1DC0" w14:textId="77777777" w:rsidR="001B12A8" w:rsidRPr="00BA4CB7" w:rsidRDefault="001B12A8" w:rsidP="001B12A8">
      <w:pPr>
        <w:rPr>
          <w:rFonts w:asciiTheme="minorHAnsi" w:hAnsiTheme="minorHAnsi"/>
          <w:sz w:val="20"/>
          <w:szCs w:val="20"/>
        </w:rPr>
      </w:pPr>
      <w:r w:rsidRPr="00BA4CB7">
        <w:rPr>
          <w:rFonts w:asciiTheme="minorHAnsi" w:hAnsiTheme="minorHAnsi" w:cs="Calibri"/>
        </w:rPr>
        <w:t>Hypersensitivity reactions; oral thrush; bone density decreased long term, which leads to osteoporosis due to the increased cortisol levels.</w:t>
      </w:r>
    </w:p>
    <w:p w14:paraId="4848BBF6" w14:textId="77777777" w:rsidR="001B12A8" w:rsidRPr="00D8498B" w:rsidRDefault="001B12A8" w:rsidP="00D8498B">
      <w:pPr>
        <w:rPr>
          <w:rFonts w:asciiTheme="minorHAnsi" w:hAnsiTheme="minorHAnsi"/>
          <w:u w:val="single"/>
        </w:rPr>
      </w:pPr>
    </w:p>
    <w:p w14:paraId="554F7D19" w14:textId="657F0E82" w:rsidR="00D8498B" w:rsidRDefault="00D8498B" w:rsidP="00D8498B">
      <w:pPr>
        <w:pStyle w:val="ListParagraph"/>
        <w:ind w:left="284"/>
        <w:rPr>
          <w:rFonts w:asciiTheme="minorHAnsi" w:hAnsiTheme="minorHAnsi"/>
        </w:rPr>
      </w:pPr>
    </w:p>
    <w:p w14:paraId="3441C8CE" w14:textId="77777777" w:rsidR="00D8498B" w:rsidRPr="00D8498B" w:rsidRDefault="00D8498B" w:rsidP="00D8498B">
      <w:pPr>
        <w:rPr>
          <w:rFonts w:asciiTheme="minorHAnsi" w:hAnsiTheme="minorHAnsi"/>
          <w:u w:val="single"/>
        </w:rPr>
      </w:pPr>
      <w:r w:rsidRPr="00D8498B">
        <w:rPr>
          <w:rFonts w:asciiTheme="minorHAnsi" w:hAnsiTheme="minorHAnsi"/>
          <w:u w:val="single"/>
        </w:rPr>
        <w:t>Drug group and individual agents:</w:t>
      </w:r>
    </w:p>
    <w:p w14:paraId="5AC14746" w14:textId="20573459" w:rsidR="00D8498B" w:rsidRDefault="00D8498B" w:rsidP="00D8498B">
      <w:pPr>
        <w:rPr>
          <w:rFonts w:asciiTheme="minorHAnsi" w:hAnsiTheme="minorHAnsi"/>
          <w:u w:val="single"/>
        </w:rPr>
      </w:pPr>
    </w:p>
    <w:p w14:paraId="4C800650" w14:textId="7CD2FD57" w:rsidR="00A202AB" w:rsidRDefault="00A202AB" w:rsidP="00D8498B">
      <w:pPr>
        <w:rPr>
          <w:rFonts w:asciiTheme="minorHAnsi" w:hAnsiTheme="minorHAnsi"/>
          <w:u w:val="single"/>
        </w:rPr>
      </w:pPr>
      <w:r>
        <w:rPr>
          <w:rFonts w:asciiTheme="minorHAnsi" w:hAnsiTheme="minorHAnsi"/>
          <w:u w:val="single"/>
        </w:rPr>
        <w:t xml:space="preserve">Imatinib </w:t>
      </w:r>
    </w:p>
    <w:p w14:paraId="454DEA7E" w14:textId="77777777" w:rsidR="00A202AB" w:rsidRPr="00D8498B" w:rsidRDefault="00A202AB" w:rsidP="00D8498B">
      <w:pPr>
        <w:rPr>
          <w:rFonts w:asciiTheme="minorHAnsi" w:hAnsiTheme="minorHAnsi"/>
          <w:u w:val="single"/>
        </w:rPr>
      </w:pPr>
    </w:p>
    <w:p w14:paraId="43D82A5C" w14:textId="77777777" w:rsidR="00D8498B" w:rsidRPr="00D8498B" w:rsidRDefault="00D8498B" w:rsidP="00D8498B">
      <w:pPr>
        <w:rPr>
          <w:rFonts w:asciiTheme="minorHAnsi" w:hAnsiTheme="minorHAnsi"/>
          <w:u w:val="single"/>
        </w:rPr>
      </w:pPr>
      <w:r w:rsidRPr="00D8498B">
        <w:rPr>
          <w:rFonts w:asciiTheme="minorHAnsi" w:hAnsiTheme="minorHAnsi"/>
          <w:u w:val="single"/>
        </w:rPr>
        <w:t>Notes on evidence-based indications:</w:t>
      </w:r>
    </w:p>
    <w:p w14:paraId="56DDF4C5" w14:textId="5929AF3A" w:rsidR="00D8498B" w:rsidRDefault="00D8498B" w:rsidP="00D8498B">
      <w:pPr>
        <w:rPr>
          <w:rFonts w:asciiTheme="minorHAnsi" w:hAnsiTheme="minorHAnsi"/>
          <w:u w:val="single"/>
        </w:rPr>
      </w:pPr>
    </w:p>
    <w:p w14:paraId="7CEAEB22" w14:textId="77777777" w:rsidR="00A202AB" w:rsidRPr="00A202AB" w:rsidRDefault="00A202AB" w:rsidP="00A202AB">
      <w:pPr>
        <w:pStyle w:val="ListParagraph"/>
        <w:numPr>
          <w:ilvl w:val="0"/>
          <w:numId w:val="15"/>
        </w:numPr>
        <w:rPr>
          <w:rFonts w:asciiTheme="minorHAnsi" w:hAnsiTheme="minorHAnsi" w:cs="Arial"/>
          <w:color w:val="000000"/>
          <w:shd w:val="clear" w:color="auto" w:fill="FFFFFF"/>
        </w:rPr>
      </w:pPr>
      <w:r w:rsidRPr="00A202AB">
        <w:rPr>
          <w:rFonts w:asciiTheme="minorHAnsi" w:hAnsiTheme="minorHAnsi" w:cs="Arial"/>
          <w:color w:val="000000"/>
          <w:shd w:val="clear" w:color="auto" w:fill="FFFFFF"/>
        </w:rPr>
        <w:t>Licensed indications in therapeutic area:</w:t>
      </w:r>
    </w:p>
    <w:p w14:paraId="7830C006" w14:textId="77777777" w:rsidR="00A202AB" w:rsidRPr="00A202AB" w:rsidRDefault="00A202AB" w:rsidP="00A202AB">
      <w:pPr>
        <w:pStyle w:val="ListParagraph"/>
        <w:numPr>
          <w:ilvl w:val="0"/>
          <w:numId w:val="15"/>
        </w:numPr>
        <w:rPr>
          <w:rFonts w:asciiTheme="minorHAnsi" w:hAnsiTheme="minorHAnsi" w:cs="Arial"/>
          <w:color w:val="000000"/>
          <w:shd w:val="clear" w:color="auto" w:fill="FFFFFF"/>
        </w:rPr>
      </w:pPr>
      <w:r w:rsidRPr="00A202AB">
        <w:rPr>
          <w:rFonts w:asciiTheme="minorHAnsi" w:hAnsiTheme="minorHAnsi" w:cs="Arial"/>
          <w:color w:val="000000"/>
          <w:shd w:val="clear" w:color="auto" w:fill="FFFFFF"/>
        </w:rPr>
        <w:t>Newly diagnosed Philadelphia chromosome (</w:t>
      </w:r>
      <w:proofErr w:type="spellStart"/>
      <w:r w:rsidRPr="00A202AB">
        <w:rPr>
          <w:rFonts w:asciiTheme="minorHAnsi" w:hAnsiTheme="minorHAnsi" w:cs="Arial"/>
          <w:color w:val="000000"/>
          <w:shd w:val="clear" w:color="auto" w:fill="FFFFFF"/>
        </w:rPr>
        <w:t>bcr-abl</w:t>
      </w:r>
      <w:proofErr w:type="spellEnd"/>
      <w:r w:rsidRPr="00A202AB">
        <w:rPr>
          <w:rFonts w:asciiTheme="minorHAnsi" w:hAnsiTheme="minorHAnsi" w:cs="Arial"/>
          <w:color w:val="000000"/>
          <w:shd w:val="clear" w:color="auto" w:fill="FFFFFF"/>
        </w:rPr>
        <w:t>) positive (Ph+) chronic myeloid leukaemia (CML) for whom bone marrow transplantation is not considered as the first line of treatment.</w:t>
      </w:r>
    </w:p>
    <w:p w14:paraId="19F6FF13" w14:textId="77777777" w:rsidR="00A202AB" w:rsidRPr="00A202AB" w:rsidRDefault="00A202AB" w:rsidP="00A202AB">
      <w:pPr>
        <w:pStyle w:val="ListParagraph"/>
        <w:numPr>
          <w:ilvl w:val="0"/>
          <w:numId w:val="15"/>
        </w:numPr>
        <w:rPr>
          <w:rFonts w:asciiTheme="minorHAnsi" w:hAnsiTheme="minorHAnsi" w:cs="Arial"/>
          <w:color w:val="000000"/>
          <w:shd w:val="clear" w:color="auto" w:fill="FFFFFF"/>
        </w:rPr>
      </w:pPr>
      <w:r w:rsidRPr="00A202AB">
        <w:rPr>
          <w:rStyle w:val="apple-converted-space"/>
          <w:rFonts w:asciiTheme="minorHAnsi" w:hAnsiTheme="minorHAnsi"/>
        </w:rPr>
        <w:t xml:space="preserve">Patients </w:t>
      </w:r>
      <w:r w:rsidRPr="00A202AB">
        <w:rPr>
          <w:rFonts w:asciiTheme="minorHAnsi" w:hAnsiTheme="minorHAnsi" w:cs="Arial"/>
          <w:color w:val="000000"/>
          <w:shd w:val="clear" w:color="auto" w:fill="FFFFFF"/>
        </w:rPr>
        <w:t>with Ph+ CML in chronic phase after failure of interferon-alpha therapy, or in accelerated phase or blast crisis.</w:t>
      </w:r>
    </w:p>
    <w:p w14:paraId="2F341A8A" w14:textId="4C28C554" w:rsidR="00A202AB" w:rsidRPr="00A202AB" w:rsidRDefault="00A202AB" w:rsidP="00A202AB">
      <w:pPr>
        <w:pStyle w:val="ListParagraph"/>
        <w:numPr>
          <w:ilvl w:val="0"/>
          <w:numId w:val="15"/>
        </w:numPr>
        <w:rPr>
          <w:rFonts w:asciiTheme="minorHAnsi" w:hAnsiTheme="minorHAnsi"/>
          <w:u w:val="single"/>
        </w:rPr>
      </w:pPr>
      <w:r w:rsidRPr="00A202AB">
        <w:rPr>
          <w:rFonts w:asciiTheme="minorHAnsi" w:hAnsiTheme="minorHAnsi" w:cs="Arial"/>
          <w:color w:val="000000"/>
          <w:shd w:val="clear" w:color="auto" w:fill="FFFFFF"/>
        </w:rPr>
        <w:t>(Also license</w:t>
      </w:r>
      <w:r>
        <w:rPr>
          <w:rFonts w:asciiTheme="minorHAnsi" w:hAnsiTheme="minorHAnsi" w:cs="Arial"/>
          <w:color w:val="000000"/>
          <w:shd w:val="clear" w:color="auto" w:fill="FFFFFF"/>
        </w:rPr>
        <w:t>d for other non-CML indications</w:t>
      </w:r>
      <w:r w:rsidRPr="00A202AB">
        <w:rPr>
          <w:rFonts w:asciiTheme="minorHAnsi" w:hAnsiTheme="minorHAnsi" w:cs="Arial"/>
          <w:color w:val="000000"/>
          <w:shd w:val="clear" w:color="auto" w:fill="FFFFFF"/>
        </w:rPr>
        <w:t>)</w:t>
      </w:r>
    </w:p>
    <w:p w14:paraId="5326FD62" w14:textId="77777777" w:rsidR="00A202AB" w:rsidRPr="00A202AB" w:rsidRDefault="00A202AB" w:rsidP="00A202AB">
      <w:pPr>
        <w:pStyle w:val="ListParagraph"/>
        <w:rPr>
          <w:rFonts w:asciiTheme="minorHAnsi" w:hAnsiTheme="minorHAnsi"/>
          <w:u w:val="single"/>
        </w:rPr>
      </w:pPr>
    </w:p>
    <w:p w14:paraId="1C04123E" w14:textId="77777777" w:rsidR="00D8498B" w:rsidRPr="00D8498B" w:rsidRDefault="00D8498B" w:rsidP="00D8498B">
      <w:pPr>
        <w:rPr>
          <w:rFonts w:asciiTheme="minorHAnsi" w:hAnsiTheme="minorHAnsi"/>
          <w:u w:val="single"/>
        </w:rPr>
      </w:pPr>
      <w:r w:rsidRPr="00D8498B">
        <w:rPr>
          <w:rFonts w:asciiTheme="minorHAnsi" w:hAnsiTheme="minorHAnsi"/>
          <w:u w:val="single"/>
        </w:rPr>
        <w:t>Notes on contraindications and drug/drug and drug/disease interactions:</w:t>
      </w:r>
    </w:p>
    <w:p w14:paraId="565C76AE" w14:textId="633CA4D8" w:rsidR="00D8498B" w:rsidRDefault="00D8498B" w:rsidP="00D8498B">
      <w:pPr>
        <w:pStyle w:val="ListParagraph"/>
        <w:ind w:left="284"/>
        <w:rPr>
          <w:rFonts w:asciiTheme="minorHAnsi" w:hAnsiTheme="minorHAnsi"/>
        </w:rPr>
      </w:pPr>
    </w:p>
    <w:p w14:paraId="1384DD1B" w14:textId="77777777" w:rsidR="00A202AB" w:rsidRPr="00A202AB" w:rsidRDefault="00A202AB" w:rsidP="00A202AB">
      <w:pPr>
        <w:pStyle w:val="ListParagraph"/>
        <w:numPr>
          <w:ilvl w:val="0"/>
          <w:numId w:val="16"/>
        </w:numPr>
        <w:rPr>
          <w:rFonts w:asciiTheme="minorHAnsi" w:hAnsiTheme="minorHAnsi" w:cs="Calibri"/>
        </w:rPr>
      </w:pPr>
      <w:r w:rsidRPr="00A202AB">
        <w:rPr>
          <w:rFonts w:asciiTheme="minorHAnsi" w:hAnsiTheme="minorHAnsi" w:cs="Calibri"/>
        </w:rPr>
        <w:t>No contraindications except hypersensitivity to active substance or excipients.</w:t>
      </w:r>
    </w:p>
    <w:p w14:paraId="3DF57CAB" w14:textId="77777777" w:rsidR="00A202AB" w:rsidRPr="00A202AB" w:rsidRDefault="00A202AB" w:rsidP="00A202AB">
      <w:pPr>
        <w:pStyle w:val="ListParagraph"/>
        <w:numPr>
          <w:ilvl w:val="0"/>
          <w:numId w:val="16"/>
        </w:numPr>
        <w:rPr>
          <w:rFonts w:asciiTheme="minorHAnsi" w:hAnsiTheme="minorHAnsi" w:cs="Calibri"/>
        </w:rPr>
      </w:pPr>
      <w:r w:rsidRPr="00A202AB">
        <w:rPr>
          <w:rFonts w:asciiTheme="minorHAnsi" w:hAnsiTheme="minorHAnsi" w:cs="Calibri"/>
        </w:rPr>
        <w:t>Not recommended in breast-feeding (low exposure but high risk to baby).</w:t>
      </w:r>
    </w:p>
    <w:p w14:paraId="0DBC8CDB" w14:textId="77777777" w:rsidR="00A202AB" w:rsidRPr="00A202AB" w:rsidRDefault="00A202AB" w:rsidP="00A202AB">
      <w:pPr>
        <w:pStyle w:val="ListParagraph"/>
        <w:numPr>
          <w:ilvl w:val="0"/>
          <w:numId w:val="16"/>
        </w:numPr>
        <w:rPr>
          <w:rFonts w:asciiTheme="minorHAnsi" w:hAnsiTheme="minorHAnsi" w:cs="Calibri"/>
        </w:rPr>
      </w:pPr>
      <w:r w:rsidRPr="00A202AB">
        <w:rPr>
          <w:rFonts w:asciiTheme="minorHAnsi" w:hAnsiTheme="minorHAnsi" w:cs="Calibri"/>
        </w:rPr>
        <w:t>Not recommended in conception or pregnancy due to toxicity – there is good evidence that in chronic CML in good response for 2 years imatinib can be put on hold for the duration of pregnancy.  This would require referral to and close monitoring by a consultant haematologist.</w:t>
      </w:r>
    </w:p>
    <w:p w14:paraId="2F9866F7" w14:textId="77777777" w:rsidR="00A202AB" w:rsidRPr="00A202AB" w:rsidRDefault="00A202AB" w:rsidP="00A202AB">
      <w:pPr>
        <w:pStyle w:val="ListParagraph"/>
        <w:numPr>
          <w:ilvl w:val="0"/>
          <w:numId w:val="16"/>
        </w:numPr>
        <w:rPr>
          <w:rFonts w:asciiTheme="minorHAnsi" w:hAnsiTheme="minorHAnsi" w:cs="Calibri"/>
        </w:rPr>
      </w:pPr>
      <w:r w:rsidRPr="00A202AB">
        <w:rPr>
          <w:rFonts w:asciiTheme="minorHAnsi" w:hAnsiTheme="minorHAnsi" w:cs="Calibri"/>
        </w:rPr>
        <w:t>Caution for cardiac disease and risk factors for heart failure (increased risk of fluid retention) and hepatic dysfunction (metabolized by the liver - close monitoring of LFTs and FBC required).</w:t>
      </w:r>
    </w:p>
    <w:p w14:paraId="5CB10C7B" w14:textId="77777777" w:rsidR="00A202AB" w:rsidRPr="00A202AB" w:rsidRDefault="00A202AB" w:rsidP="00A202AB">
      <w:pPr>
        <w:pStyle w:val="ListParagraph"/>
        <w:numPr>
          <w:ilvl w:val="0"/>
          <w:numId w:val="16"/>
        </w:numPr>
        <w:rPr>
          <w:rFonts w:asciiTheme="minorHAnsi" w:hAnsiTheme="minorHAnsi" w:cs="Calibri"/>
        </w:rPr>
      </w:pPr>
      <w:r w:rsidRPr="00A202AB">
        <w:rPr>
          <w:rFonts w:asciiTheme="minorHAnsi" w:hAnsiTheme="minorHAnsi" w:cs="Calibri"/>
        </w:rPr>
        <w:t xml:space="preserve">Diabetic control can </w:t>
      </w:r>
      <w:r w:rsidRPr="00A202AB">
        <w:rPr>
          <w:rFonts w:asciiTheme="minorHAnsi" w:hAnsiTheme="minorHAnsi" w:cs="Calibri"/>
          <w:i/>
        </w:rPr>
        <w:t>improve</w:t>
      </w:r>
      <w:r w:rsidRPr="00A202AB">
        <w:rPr>
          <w:rFonts w:asciiTheme="minorHAnsi" w:hAnsiTheme="minorHAnsi" w:cs="Calibri"/>
        </w:rPr>
        <w:t xml:space="preserve"> while on imatinib.</w:t>
      </w:r>
    </w:p>
    <w:p w14:paraId="0C570B7C" w14:textId="77777777" w:rsidR="00A202AB" w:rsidRPr="00A202AB" w:rsidRDefault="00A202AB" w:rsidP="00A202AB">
      <w:pPr>
        <w:pStyle w:val="ListParagraph"/>
        <w:numPr>
          <w:ilvl w:val="0"/>
          <w:numId w:val="16"/>
        </w:numPr>
        <w:rPr>
          <w:rFonts w:asciiTheme="minorHAnsi" w:hAnsiTheme="minorHAnsi" w:cs="Calibri"/>
        </w:rPr>
      </w:pPr>
      <w:r w:rsidRPr="00A202AB">
        <w:rPr>
          <w:rFonts w:asciiTheme="minorHAnsi" w:hAnsiTheme="minorHAnsi" w:cs="Calibri"/>
        </w:rPr>
        <w:t>No dose change required for renal insufficiency.</w:t>
      </w:r>
    </w:p>
    <w:p w14:paraId="288CE7E2" w14:textId="40A894C8" w:rsidR="00D8498B" w:rsidRDefault="00D8498B" w:rsidP="00D8498B">
      <w:pPr>
        <w:pStyle w:val="ListParagraph"/>
        <w:ind w:left="284"/>
        <w:rPr>
          <w:rFonts w:asciiTheme="minorHAnsi" w:hAnsiTheme="minorHAnsi"/>
        </w:rPr>
      </w:pPr>
    </w:p>
    <w:p w14:paraId="1E6081AB" w14:textId="31E01697" w:rsidR="00D8498B" w:rsidRDefault="00D8498B" w:rsidP="00D8498B">
      <w:pPr>
        <w:pStyle w:val="ListParagraph"/>
        <w:ind w:left="284"/>
        <w:rPr>
          <w:rFonts w:asciiTheme="minorHAnsi" w:hAnsiTheme="minorHAnsi"/>
        </w:rPr>
      </w:pPr>
    </w:p>
    <w:p w14:paraId="7CCF77D4" w14:textId="3E3507D3" w:rsidR="00D600F7" w:rsidRDefault="00D600F7" w:rsidP="00D8498B">
      <w:pPr>
        <w:pStyle w:val="ListParagraph"/>
        <w:ind w:left="284"/>
        <w:rPr>
          <w:rFonts w:asciiTheme="minorHAnsi" w:hAnsiTheme="minorHAnsi"/>
        </w:rPr>
      </w:pPr>
    </w:p>
    <w:p w14:paraId="1379F901" w14:textId="77777777" w:rsidR="00D600F7" w:rsidRDefault="00D600F7" w:rsidP="00D8498B">
      <w:pPr>
        <w:pStyle w:val="ListParagraph"/>
        <w:ind w:left="284"/>
        <w:rPr>
          <w:rFonts w:asciiTheme="minorHAnsi" w:hAnsiTheme="minorHAnsi"/>
        </w:rPr>
      </w:pPr>
    </w:p>
    <w:p w14:paraId="6DFE3822" w14:textId="2911FB3D" w:rsidR="003068F2" w:rsidRPr="00EB5433" w:rsidRDefault="001B150E" w:rsidP="00EB5433">
      <w:pPr>
        <w:pStyle w:val="ListParagraph"/>
        <w:numPr>
          <w:ilvl w:val="0"/>
          <w:numId w:val="12"/>
        </w:numPr>
        <w:ind w:left="284" w:hanging="284"/>
        <w:rPr>
          <w:rFonts w:asciiTheme="minorHAnsi" w:hAnsiTheme="minorHAnsi"/>
          <w:b/>
          <w:u w:val="single"/>
        </w:rPr>
      </w:pPr>
      <w:r w:rsidRPr="00EB5433">
        <w:rPr>
          <w:rFonts w:asciiTheme="minorHAnsi" w:hAnsiTheme="minorHAnsi"/>
          <w:b/>
          <w:u w:val="single"/>
        </w:rPr>
        <w:lastRenderedPageBreak/>
        <w:t>Evidence-</w:t>
      </w:r>
      <w:r w:rsidR="003068F2" w:rsidRPr="00EB5433">
        <w:rPr>
          <w:rFonts w:asciiTheme="minorHAnsi" w:hAnsiTheme="minorHAnsi"/>
          <w:b/>
          <w:u w:val="single"/>
        </w:rPr>
        <w:t>based Research and Guidelines</w:t>
      </w:r>
    </w:p>
    <w:p w14:paraId="7ABA99ED" w14:textId="77777777" w:rsidR="003068F2" w:rsidRPr="00F11B48" w:rsidRDefault="003068F2" w:rsidP="003068F2">
      <w:pPr>
        <w:pStyle w:val="ListParagraph"/>
        <w:rPr>
          <w:rFonts w:asciiTheme="minorHAnsi" w:hAnsiTheme="minorHAnsi"/>
          <w:b/>
        </w:rPr>
      </w:pPr>
    </w:p>
    <w:p w14:paraId="7F33A30B" w14:textId="77E5353D" w:rsidR="003068F2" w:rsidRDefault="003068F2" w:rsidP="004A3DA1">
      <w:pPr>
        <w:jc w:val="both"/>
        <w:rPr>
          <w:rFonts w:asciiTheme="minorHAnsi" w:hAnsiTheme="minorHAnsi"/>
        </w:rPr>
      </w:pPr>
      <w:r w:rsidRPr="00F11B48">
        <w:rPr>
          <w:rFonts w:asciiTheme="minorHAnsi" w:hAnsiTheme="minorHAnsi"/>
        </w:rPr>
        <w:t xml:space="preserve">In this section you are building the evidence base behind the medicines you prescribe. Include primary research </w:t>
      </w:r>
      <w:r w:rsidR="00266B3F" w:rsidRPr="00F11B48">
        <w:rPr>
          <w:rFonts w:asciiTheme="minorHAnsi" w:hAnsiTheme="minorHAnsi"/>
        </w:rPr>
        <w:t xml:space="preserve">and </w:t>
      </w:r>
      <w:r w:rsidR="00F52961" w:rsidRPr="00F11B48">
        <w:rPr>
          <w:rFonts w:asciiTheme="minorHAnsi" w:hAnsiTheme="minorHAnsi"/>
        </w:rPr>
        <w:t xml:space="preserve">systematic </w:t>
      </w:r>
      <w:r w:rsidR="00266B3F" w:rsidRPr="00F11B48">
        <w:rPr>
          <w:rFonts w:asciiTheme="minorHAnsi" w:hAnsiTheme="minorHAnsi"/>
        </w:rPr>
        <w:t xml:space="preserve">reviews such as meta- analysis and Cochrane reviews. Primary research papers </w:t>
      </w:r>
      <w:r w:rsidRPr="00F11B48">
        <w:rPr>
          <w:rFonts w:asciiTheme="minorHAnsi" w:hAnsiTheme="minorHAnsi"/>
        </w:rPr>
        <w:t xml:space="preserve">should mostly be the most important studies that have </w:t>
      </w:r>
      <w:r w:rsidR="0011592B" w:rsidRPr="00F11B48">
        <w:rPr>
          <w:rFonts w:asciiTheme="minorHAnsi" w:hAnsiTheme="minorHAnsi"/>
        </w:rPr>
        <w:t>provided evidence to inform</w:t>
      </w:r>
      <w:r w:rsidRPr="00F11B48">
        <w:rPr>
          <w:rFonts w:asciiTheme="minorHAnsi" w:hAnsiTheme="minorHAnsi"/>
        </w:rPr>
        <w:t xml:space="preserve"> the </w:t>
      </w:r>
      <w:r w:rsidR="0011592B" w:rsidRPr="00F11B48">
        <w:rPr>
          <w:rFonts w:asciiTheme="minorHAnsi" w:hAnsiTheme="minorHAnsi"/>
        </w:rPr>
        <w:t>guidelines</w:t>
      </w:r>
      <w:r w:rsidRPr="00F11B48">
        <w:rPr>
          <w:rFonts w:asciiTheme="minorHAnsi" w:hAnsiTheme="minorHAnsi"/>
        </w:rPr>
        <w:t xml:space="preserve">. </w:t>
      </w:r>
      <w:r w:rsidR="00266B3F" w:rsidRPr="00F11B48">
        <w:rPr>
          <w:rFonts w:asciiTheme="minorHAnsi" w:hAnsiTheme="minorHAnsi"/>
        </w:rPr>
        <w:t>In table b</w:t>
      </w:r>
      <w:r w:rsidRPr="00F11B48">
        <w:rPr>
          <w:rFonts w:asciiTheme="minorHAnsi" w:hAnsiTheme="minorHAnsi"/>
        </w:rPr>
        <w:t xml:space="preserve"> include the guidelines themselves w</w:t>
      </w:r>
      <w:r w:rsidR="00F53232" w:rsidRPr="00F11B48">
        <w:rPr>
          <w:rFonts w:asciiTheme="minorHAnsi" w:hAnsiTheme="minorHAnsi"/>
        </w:rPr>
        <w:t>he</w:t>
      </w:r>
      <w:r w:rsidRPr="00F11B48">
        <w:rPr>
          <w:rFonts w:asciiTheme="minorHAnsi" w:hAnsiTheme="minorHAnsi"/>
        </w:rPr>
        <w:t>ther these be national or lo</w:t>
      </w:r>
      <w:r w:rsidR="00F53232" w:rsidRPr="00F11B48">
        <w:rPr>
          <w:rFonts w:asciiTheme="minorHAnsi" w:hAnsiTheme="minorHAnsi"/>
        </w:rPr>
        <w:t>cal, including reference to NICE</w:t>
      </w:r>
      <w:r w:rsidR="00F52961" w:rsidRPr="00F11B48">
        <w:rPr>
          <w:rFonts w:asciiTheme="minorHAnsi" w:hAnsiTheme="minorHAnsi"/>
        </w:rPr>
        <w:t>. Include the WEB links to any on-line material</w:t>
      </w:r>
      <w:r w:rsidR="000D2E47">
        <w:rPr>
          <w:rFonts w:asciiTheme="minorHAnsi" w:hAnsiTheme="minorHAnsi"/>
        </w:rPr>
        <w:t>.</w:t>
      </w:r>
    </w:p>
    <w:p w14:paraId="2F386E0E" w14:textId="22E2E388" w:rsidR="000D2E47" w:rsidRDefault="000D2E47" w:rsidP="004A3DA1">
      <w:pPr>
        <w:jc w:val="both"/>
        <w:rPr>
          <w:rFonts w:asciiTheme="minorHAnsi" w:hAnsiTheme="minorHAnsi"/>
        </w:rPr>
      </w:pPr>
    </w:p>
    <w:p w14:paraId="25F99FD4" w14:textId="3C8BBD8F" w:rsidR="000D2E47" w:rsidRPr="004A3DA1" w:rsidRDefault="000D2E47" w:rsidP="000D2E47">
      <w:pPr>
        <w:rPr>
          <w:rFonts w:asciiTheme="minorHAnsi" w:hAnsiTheme="minorHAnsi"/>
          <w:b/>
        </w:rPr>
      </w:pPr>
      <w:r>
        <w:rPr>
          <w:rFonts w:asciiTheme="minorHAnsi" w:hAnsiTheme="minorHAnsi"/>
          <w:b/>
        </w:rPr>
        <w:t>Section</w:t>
      </w:r>
      <w:r w:rsidRPr="004A3DA1">
        <w:rPr>
          <w:rFonts w:asciiTheme="minorHAnsi" w:hAnsiTheme="minorHAnsi"/>
          <w:b/>
        </w:rPr>
        <w:t xml:space="preserve"> 2</w:t>
      </w:r>
      <w:r>
        <w:rPr>
          <w:rFonts w:asciiTheme="minorHAnsi" w:hAnsiTheme="minorHAnsi"/>
          <w:b/>
        </w:rPr>
        <w:t>a: Guidelines</w:t>
      </w:r>
    </w:p>
    <w:p w14:paraId="747561B4" w14:textId="77777777" w:rsidR="000D2E47" w:rsidRDefault="000D2E47" w:rsidP="000D2E47">
      <w:pPr>
        <w:ind w:left="360" w:hanging="360"/>
        <w:rPr>
          <w:rFonts w:asciiTheme="minorHAnsi" w:hAnsiTheme="minorHAnsi"/>
          <w:i/>
        </w:rPr>
      </w:pPr>
    </w:p>
    <w:p w14:paraId="5632207D" w14:textId="77777777" w:rsidR="000D2E47" w:rsidRPr="00957FC0" w:rsidRDefault="000D2E47" w:rsidP="000D2E47">
      <w:pPr>
        <w:rPr>
          <w:rFonts w:asciiTheme="minorHAnsi" w:hAnsiTheme="minorHAnsi"/>
          <w:i/>
        </w:rPr>
      </w:pPr>
      <w:r>
        <w:rPr>
          <w:rFonts w:asciiTheme="minorHAnsi" w:hAnsiTheme="minorHAnsi"/>
          <w:i/>
        </w:rPr>
        <w:t>Please describe</w:t>
      </w:r>
      <w:r w:rsidRPr="00F11B48">
        <w:rPr>
          <w:rFonts w:asciiTheme="minorHAnsi" w:hAnsiTheme="minorHAnsi"/>
          <w:i/>
        </w:rPr>
        <w:t xml:space="preserve"> </w:t>
      </w:r>
      <w:r>
        <w:rPr>
          <w:rFonts w:asciiTheme="minorHAnsi" w:hAnsiTheme="minorHAnsi"/>
          <w:i/>
        </w:rPr>
        <w:t>local national and international guidelines that underpin your scope of practice</w:t>
      </w:r>
      <w:r w:rsidRPr="00F11B48">
        <w:rPr>
          <w:rFonts w:asciiTheme="minorHAnsi" w:hAnsiTheme="minorHAnsi"/>
          <w:i/>
        </w:rPr>
        <w:t xml:space="preserve">. </w:t>
      </w: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as required for the number of references required)</w:t>
      </w:r>
    </w:p>
    <w:p w14:paraId="5C153D0A" w14:textId="77777777" w:rsidR="000D2E47" w:rsidRDefault="000D2E47" w:rsidP="000D2E47">
      <w:pPr>
        <w:rPr>
          <w:rFonts w:asciiTheme="minorHAnsi" w:hAnsiTheme="minorHAnsi"/>
        </w:rPr>
      </w:pPr>
    </w:p>
    <w:p w14:paraId="35D39C79" w14:textId="77777777" w:rsidR="000D2E47" w:rsidRPr="00A63ECD" w:rsidRDefault="000D2E47" w:rsidP="000D2E47">
      <w:pPr>
        <w:rPr>
          <w:rFonts w:asciiTheme="minorHAnsi" w:hAnsiTheme="minorHAnsi"/>
          <w:u w:val="single"/>
        </w:rPr>
      </w:pPr>
      <w:r w:rsidRPr="00A63ECD">
        <w:rPr>
          <w:rFonts w:asciiTheme="minorHAnsi" w:hAnsiTheme="minorHAnsi"/>
          <w:u w:val="single"/>
        </w:rPr>
        <w:t>Reference:</w:t>
      </w:r>
    </w:p>
    <w:p w14:paraId="1226A0C2" w14:textId="77777777" w:rsidR="000D2E47" w:rsidRPr="00A63ECD" w:rsidRDefault="000D2E47" w:rsidP="000D2E47">
      <w:pPr>
        <w:rPr>
          <w:rFonts w:asciiTheme="minorHAnsi" w:hAnsiTheme="minorHAnsi"/>
          <w:u w:val="single"/>
        </w:rPr>
      </w:pPr>
    </w:p>
    <w:p w14:paraId="6EF1DAEF" w14:textId="77777777" w:rsidR="000D2E47" w:rsidRPr="00BA4CB7" w:rsidRDefault="000D2E47" w:rsidP="000D2E47">
      <w:pPr>
        <w:rPr>
          <w:rFonts w:asciiTheme="minorHAnsi" w:hAnsiTheme="minorHAnsi" w:cs="Calibri"/>
        </w:rPr>
      </w:pPr>
      <w:r w:rsidRPr="00BA4CB7">
        <w:rPr>
          <w:rFonts w:asciiTheme="minorHAnsi" w:hAnsiTheme="minorHAnsi" w:cs="Calibri"/>
        </w:rPr>
        <w:t xml:space="preserve">BYRNE JL, HUNTER A, LYTTELTON M (2013) </w:t>
      </w:r>
      <w:r w:rsidRPr="00BA4CB7">
        <w:rPr>
          <w:rFonts w:asciiTheme="minorHAnsi" w:hAnsiTheme="minorHAnsi" w:cs="Calibri"/>
          <w:i/>
        </w:rPr>
        <w:t>East Midlands Cancer Network Guidelines for the Investigation and Management of Patients with Chronic Myeloid Leukaemia</w:t>
      </w:r>
      <w:r w:rsidRPr="00BA4CB7">
        <w:rPr>
          <w:rFonts w:asciiTheme="minorHAnsi" w:hAnsiTheme="minorHAnsi" w:cs="Calibri"/>
        </w:rPr>
        <w:t xml:space="preserve">. [online] East Midlands Cancer Network. Available at: </w:t>
      </w:r>
      <w:hyperlink r:id="rId10" w:history="1">
        <w:r w:rsidRPr="00BA4CB7">
          <w:rPr>
            <w:rStyle w:val="Hyperlink"/>
            <w:rFonts w:asciiTheme="minorHAnsi" w:hAnsiTheme="minorHAnsi" w:cs="Calibri"/>
          </w:rPr>
          <w:t>http://www.eastmidlandscancernetwork.nhs.uk/Library/EMCNDC000809CMLGuidelinesv3.pdf</w:t>
        </w:r>
      </w:hyperlink>
      <w:r w:rsidRPr="00BA4CB7">
        <w:rPr>
          <w:rFonts w:asciiTheme="minorHAnsi" w:hAnsiTheme="minorHAnsi" w:cs="Calibri"/>
        </w:rPr>
        <w:t xml:space="preserve">  (accessed 18/11/2015).</w:t>
      </w:r>
    </w:p>
    <w:p w14:paraId="4F690653" w14:textId="77777777" w:rsidR="000D2E47" w:rsidRPr="00A63ECD" w:rsidRDefault="000D2E47" w:rsidP="000D2E47">
      <w:pPr>
        <w:rPr>
          <w:rFonts w:asciiTheme="minorHAnsi" w:hAnsiTheme="minorHAnsi"/>
        </w:rPr>
      </w:pPr>
    </w:p>
    <w:p w14:paraId="0B246F9A" w14:textId="77777777" w:rsidR="000D2E47" w:rsidRDefault="000D2E47" w:rsidP="000D2E47">
      <w:pPr>
        <w:rPr>
          <w:rFonts w:asciiTheme="minorHAnsi" w:hAnsiTheme="minorHAnsi"/>
          <w:u w:val="single"/>
        </w:rPr>
      </w:pPr>
      <w:r w:rsidRPr="00A63ECD">
        <w:rPr>
          <w:rFonts w:asciiTheme="minorHAnsi" w:hAnsiTheme="minorHAnsi"/>
          <w:u w:val="single"/>
        </w:rPr>
        <w:t>Brief description and what you have learned:</w:t>
      </w:r>
    </w:p>
    <w:p w14:paraId="0FDA2B6F" w14:textId="77777777" w:rsidR="000D2E47" w:rsidRDefault="000D2E47" w:rsidP="000D2E47">
      <w:pPr>
        <w:jc w:val="both"/>
        <w:rPr>
          <w:rFonts w:asciiTheme="minorHAnsi" w:hAnsiTheme="minorHAnsi"/>
          <w:u w:val="single"/>
        </w:rPr>
      </w:pPr>
    </w:p>
    <w:p w14:paraId="3FC0F58D" w14:textId="77777777" w:rsidR="000D2E47" w:rsidRDefault="000D2E47" w:rsidP="000D2E47">
      <w:pPr>
        <w:jc w:val="both"/>
        <w:rPr>
          <w:rFonts w:asciiTheme="minorHAnsi" w:hAnsiTheme="minorHAnsi" w:cs="Calibri"/>
        </w:rPr>
      </w:pPr>
      <w:r w:rsidRPr="00BA4CB7">
        <w:rPr>
          <w:rFonts w:asciiTheme="minorHAnsi" w:hAnsiTheme="minorHAnsi" w:cs="Calibri"/>
        </w:rPr>
        <w:t>The local Cancer Network (EMCN) guidelines used in my Trust by the local tri-Trust network haematology multidisciplinary team (MDT) to guide treatment decisions.  Produced locally through the Haematology Network Site Specific Group (Haem NSSG) consisting of Consultant Haematologists, with input from the multidisciplinary team.</w:t>
      </w:r>
    </w:p>
    <w:p w14:paraId="6898ECD9" w14:textId="77777777" w:rsidR="000D2E47" w:rsidRPr="00BA4CB7" w:rsidRDefault="000D2E47" w:rsidP="000D2E47">
      <w:pPr>
        <w:jc w:val="both"/>
        <w:rPr>
          <w:rFonts w:asciiTheme="minorHAnsi" w:hAnsiTheme="minorHAnsi" w:cs="Calibri"/>
        </w:rPr>
      </w:pPr>
    </w:p>
    <w:p w14:paraId="4DC33DBD" w14:textId="77777777" w:rsidR="000D2E47" w:rsidRDefault="000D2E47" w:rsidP="000D2E47">
      <w:pPr>
        <w:jc w:val="both"/>
        <w:rPr>
          <w:rFonts w:asciiTheme="minorHAnsi" w:hAnsiTheme="minorHAnsi" w:cs="Calibri"/>
        </w:rPr>
      </w:pPr>
      <w:r w:rsidRPr="00BA4CB7">
        <w:rPr>
          <w:rFonts w:asciiTheme="minorHAnsi" w:hAnsiTheme="minorHAnsi" w:cs="Calibri"/>
        </w:rPr>
        <w:t>Advocates discussion at Haematology MDT of all newly diagnosed chronic phase CML patients and those requiring change in therapy due to intolerance, failure to respond or progression.  Also recommends enrolment of patients on a suit</w:t>
      </w:r>
      <w:r>
        <w:rPr>
          <w:rFonts w:asciiTheme="minorHAnsi" w:hAnsiTheme="minorHAnsi" w:cs="Calibri"/>
        </w:rPr>
        <w:t>able trial if available locally.</w:t>
      </w:r>
    </w:p>
    <w:p w14:paraId="56244DA1" w14:textId="77777777" w:rsidR="000D2E47" w:rsidRPr="00BA4CB7" w:rsidRDefault="000D2E47" w:rsidP="000D2E47">
      <w:pPr>
        <w:jc w:val="both"/>
        <w:rPr>
          <w:rFonts w:asciiTheme="minorHAnsi" w:hAnsiTheme="minorHAnsi" w:cs="Calibri"/>
        </w:rPr>
      </w:pPr>
    </w:p>
    <w:p w14:paraId="49C30EC0" w14:textId="77777777" w:rsidR="000D2E47" w:rsidRPr="00BA4CB7" w:rsidRDefault="000D2E47" w:rsidP="000D2E47">
      <w:pPr>
        <w:jc w:val="both"/>
        <w:rPr>
          <w:rFonts w:asciiTheme="minorHAnsi" w:hAnsiTheme="minorHAnsi" w:cs="Calibri"/>
        </w:rPr>
      </w:pPr>
      <w:r w:rsidRPr="00BA4CB7">
        <w:rPr>
          <w:rFonts w:asciiTheme="minorHAnsi" w:hAnsiTheme="minorHAnsi" w:cs="Calibri"/>
        </w:rPr>
        <w:t xml:space="preserve">Note that the review date for this document is February 2015 and that it is based on 2009 (not 2013) European </w:t>
      </w:r>
      <w:proofErr w:type="spellStart"/>
      <w:r w:rsidRPr="00BA4CB7">
        <w:rPr>
          <w:rFonts w:asciiTheme="minorHAnsi" w:hAnsiTheme="minorHAnsi" w:cs="Calibri"/>
        </w:rPr>
        <w:t>LeukemiaNet</w:t>
      </w:r>
      <w:proofErr w:type="spellEnd"/>
      <w:r w:rsidRPr="00BA4CB7">
        <w:rPr>
          <w:rFonts w:asciiTheme="minorHAnsi" w:hAnsiTheme="minorHAnsi" w:cs="Calibri"/>
        </w:rPr>
        <w:t xml:space="preserve"> (ELN) recommendations and on NICE Technology Appraisals available in 2013.</w:t>
      </w:r>
    </w:p>
    <w:p w14:paraId="5B19BFDA" w14:textId="77777777" w:rsidR="000D2E47" w:rsidRDefault="000D2E47" w:rsidP="000D2E47">
      <w:pPr>
        <w:rPr>
          <w:rFonts w:asciiTheme="minorHAnsi" w:hAnsiTheme="minorHAnsi"/>
          <w:u w:val="single"/>
        </w:rPr>
      </w:pPr>
    </w:p>
    <w:p w14:paraId="05E201D0" w14:textId="77777777" w:rsidR="000D2E47" w:rsidRDefault="000D2E47" w:rsidP="000D2E47">
      <w:pPr>
        <w:rPr>
          <w:rFonts w:asciiTheme="minorHAnsi" w:hAnsiTheme="minorHAnsi"/>
          <w:u w:val="single"/>
        </w:rPr>
      </w:pPr>
    </w:p>
    <w:p w14:paraId="0AD49188" w14:textId="3B779429" w:rsidR="000D2E47" w:rsidRPr="00A63ECD" w:rsidRDefault="000D2E47" w:rsidP="000D2E47">
      <w:pPr>
        <w:rPr>
          <w:rFonts w:asciiTheme="minorHAnsi" w:hAnsiTheme="minorHAnsi"/>
          <w:u w:val="single"/>
        </w:rPr>
      </w:pPr>
      <w:r>
        <w:rPr>
          <w:rFonts w:asciiTheme="minorHAnsi" w:hAnsiTheme="minorHAnsi"/>
          <w:u w:val="single"/>
        </w:rPr>
        <w:t>R</w:t>
      </w:r>
      <w:r w:rsidRPr="00A63ECD">
        <w:rPr>
          <w:rFonts w:asciiTheme="minorHAnsi" w:hAnsiTheme="minorHAnsi"/>
          <w:u w:val="single"/>
        </w:rPr>
        <w:t>eference:</w:t>
      </w:r>
    </w:p>
    <w:p w14:paraId="17DFC3FC" w14:textId="77777777" w:rsidR="000D2E47" w:rsidRPr="00A63ECD" w:rsidRDefault="000D2E47" w:rsidP="000D2E47">
      <w:pPr>
        <w:rPr>
          <w:rFonts w:asciiTheme="minorHAnsi" w:hAnsiTheme="minorHAnsi"/>
          <w:u w:val="single"/>
        </w:rPr>
      </w:pPr>
    </w:p>
    <w:p w14:paraId="7E6E4926" w14:textId="77777777" w:rsidR="000D2E47" w:rsidRPr="00BA4CB7" w:rsidRDefault="00366432" w:rsidP="000D2E47">
      <w:pPr>
        <w:rPr>
          <w:rFonts w:asciiTheme="minorHAnsi" w:hAnsiTheme="minorHAnsi" w:cs="Calibri"/>
        </w:rPr>
      </w:pPr>
      <w:hyperlink r:id="rId11" w:history="1">
        <w:r w:rsidR="000D2E47" w:rsidRPr="00BA4CB7">
          <w:rPr>
            <w:rStyle w:val="Hyperlink"/>
            <w:rFonts w:asciiTheme="minorHAnsi" w:hAnsiTheme="minorHAnsi" w:cs="Calibri"/>
          </w:rPr>
          <w:t>http://www.ers-education.org/guidelines.aspx</w:t>
        </w:r>
      </w:hyperlink>
      <w:r w:rsidR="000D2E47" w:rsidRPr="00BA4CB7">
        <w:rPr>
          <w:rStyle w:val="Hyperlink"/>
          <w:rFonts w:asciiTheme="minorHAnsi" w:hAnsiTheme="minorHAnsi" w:cs="Calibri"/>
        </w:rPr>
        <w:t>. Accessed 20</w:t>
      </w:r>
      <w:r w:rsidR="000D2E47" w:rsidRPr="00BA4CB7">
        <w:rPr>
          <w:rStyle w:val="Hyperlink"/>
          <w:rFonts w:asciiTheme="minorHAnsi" w:hAnsiTheme="minorHAnsi" w:cs="Calibri"/>
          <w:vertAlign w:val="superscript"/>
        </w:rPr>
        <w:t>th</w:t>
      </w:r>
      <w:r w:rsidR="000D2E47" w:rsidRPr="00BA4CB7">
        <w:rPr>
          <w:rStyle w:val="Hyperlink"/>
          <w:rFonts w:asciiTheme="minorHAnsi" w:hAnsiTheme="minorHAnsi" w:cs="Calibri"/>
        </w:rPr>
        <w:t xml:space="preserve"> February 2016.</w:t>
      </w:r>
    </w:p>
    <w:p w14:paraId="67F93641" w14:textId="77777777" w:rsidR="000D2E47" w:rsidRPr="00A63ECD" w:rsidRDefault="000D2E47" w:rsidP="000D2E47">
      <w:pPr>
        <w:rPr>
          <w:rFonts w:asciiTheme="minorHAnsi" w:hAnsiTheme="minorHAnsi"/>
        </w:rPr>
      </w:pPr>
    </w:p>
    <w:p w14:paraId="5EA35AC4" w14:textId="77777777" w:rsidR="000D2E47" w:rsidRPr="00A63ECD" w:rsidRDefault="000D2E47" w:rsidP="000D2E47">
      <w:pPr>
        <w:rPr>
          <w:rFonts w:asciiTheme="minorHAnsi" w:hAnsiTheme="minorHAnsi"/>
          <w:u w:val="single"/>
        </w:rPr>
      </w:pPr>
      <w:r w:rsidRPr="00A63ECD">
        <w:rPr>
          <w:rFonts w:asciiTheme="minorHAnsi" w:hAnsiTheme="minorHAnsi"/>
          <w:u w:val="single"/>
        </w:rPr>
        <w:t>Brief description and what you have learned:</w:t>
      </w:r>
    </w:p>
    <w:p w14:paraId="3BDDF469" w14:textId="77777777" w:rsidR="000D2E47" w:rsidRPr="00A63ECD" w:rsidRDefault="000D2E47" w:rsidP="000D2E47">
      <w:pPr>
        <w:rPr>
          <w:rFonts w:asciiTheme="minorHAnsi" w:hAnsiTheme="minorHAnsi"/>
          <w:u w:val="single"/>
        </w:rPr>
      </w:pPr>
    </w:p>
    <w:p w14:paraId="4CF62680" w14:textId="77777777" w:rsidR="000D2E47" w:rsidRPr="00F11B48" w:rsidRDefault="000D2E47" w:rsidP="000D2E47">
      <w:pPr>
        <w:jc w:val="both"/>
        <w:rPr>
          <w:rFonts w:asciiTheme="minorHAnsi" w:hAnsiTheme="minorHAnsi"/>
        </w:rPr>
      </w:pPr>
      <w:r w:rsidRPr="00BA4CB7">
        <w:rPr>
          <w:rFonts w:asciiTheme="minorHAnsi" w:hAnsiTheme="minorHAnsi" w:cs="Calibri"/>
        </w:rPr>
        <w:lastRenderedPageBreak/>
        <w:t>European Respiratory Society (ERS) website includes European guidance and published research from the European Respiratory Journal. Also provides links to other guidance including NICE guidelines</w:t>
      </w:r>
      <w:r>
        <w:rPr>
          <w:rFonts w:asciiTheme="minorHAnsi" w:hAnsiTheme="minorHAnsi" w:cs="Calibri"/>
        </w:rPr>
        <w:t>.</w:t>
      </w:r>
    </w:p>
    <w:p w14:paraId="753FA714" w14:textId="77777777" w:rsidR="000D2E47" w:rsidRPr="00F11B48" w:rsidRDefault="000D2E47" w:rsidP="004A3DA1">
      <w:pPr>
        <w:jc w:val="both"/>
        <w:rPr>
          <w:rFonts w:asciiTheme="minorHAnsi" w:hAnsiTheme="minorHAnsi"/>
        </w:rPr>
      </w:pPr>
    </w:p>
    <w:p w14:paraId="4F2F5C14" w14:textId="69A7ED23" w:rsidR="000D2E47" w:rsidRPr="004A3DA1" w:rsidRDefault="000D2E47" w:rsidP="000D2E47">
      <w:pPr>
        <w:rPr>
          <w:rFonts w:asciiTheme="minorHAnsi" w:hAnsiTheme="minorHAnsi"/>
          <w:b/>
        </w:rPr>
      </w:pPr>
      <w:r>
        <w:rPr>
          <w:rFonts w:asciiTheme="minorHAnsi" w:hAnsiTheme="minorHAnsi"/>
          <w:b/>
        </w:rPr>
        <w:t>Section</w:t>
      </w:r>
      <w:r w:rsidRPr="004A3DA1">
        <w:rPr>
          <w:rFonts w:asciiTheme="minorHAnsi" w:hAnsiTheme="minorHAnsi"/>
          <w:b/>
        </w:rPr>
        <w:t xml:space="preserve"> 2</w:t>
      </w:r>
      <w:r>
        <w:rPr>
          <w:rFonts w:asciiTheme="minorHAnsi" w:hAnsiTheme="minorHAnsi"/>
          <w:b/>
        </w:rPr>
        <w:t>b</w:t>
      </w:r>
      <w:r w:rsidRPr="004A3DA1">
        <w:rPr>
          <w:rFonts w:asciiTheme="minorHAnsi" w:hAnsiTheme="minorHAnsi"/>
          <w:b/>
        </w:rPr>
        <w:t>: Systematic reviews</w:t>
      </w:r>
    </w:p>
    <w:p w14:paraId="66EC428E" w14:textId="77777777" w:rsidR="000D2E47" w:rsidRDefault="000D2E47" w:rsidP="000D2E47">
      <w:pPr>
        <w:rPr>
          <w:rFonts w:asciiTheme="minorHAnsi" w:hAnsiTheme="minorHAnsi"/>
          <w:i/>
        </w:rPr>
      </w:pPr>
    </w:p>
    <w:p w14:paraId="10C232E1" w14:textId="77777777" w:rsidR="000D2E47" w:rsidRPr="00957FC0" w:rsidRDefault="000D2E47" w:rsidP="000D2E47">
      <w:pPr>
        <w:rPr>
          <w:rFonts w:asciiTheme="minorHAnsi" w:hAnsiTheme="minorHAnsi"/>
          <w:i/>
        </w:rPr>
      </w:pPr>
      <w:r>
        <w:rPr>
          <w:rFonts w:asciiTheme="minorHAnsi" w:hAnsiTheme="minorHAnsi"/>
          <w:i/>
        </w:rPr>
        <w:t>Please detail</w:t>
      </w:r>
      <w:r w:rsidRPr="00F11B48">
        <w:rPr>
          <w:rFonts w:asciiTheme="minorHAnsi" w:hAnsiTheme="minorHAnsi"/>
          <w:i/>
        </w:rPr>
        <w:t xml:space="preserve"> below </w:t>
      </w:r>
      <w:r>
        <w:rPr>
          <w:rFonts w:asciiTheme="minorHAnsi" w:hAnsiTheme="minorHAnsi"/>
          <w:i/>
        </w:rPr>
        <w:t xml:space="preserve">a </w:t>
      </w:r>
      <w:r w:rsidRPr="00F11B48">
        <w:rPr>
          <w:rFonts w:asciiTheme="minorHAnsi" w:hAnsiTheme="minorHAnsi"/>
          <w:i/>
        </w:rPr>
        <w:t>list the relevant systematic reviews</w:t>
      </w:r>
      <w:r>
        <w:rPr>
          <w:rFonts w:asciiTheme="minorHAnsi" w:hAnsiTheme="minorHAnsi"/>
          <w:i/>
        </w:rPr>
        <w:t xml:space="preserve">. </w:t>
      </w: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as required for the number of references required)</w:t>
      </w:r>
    </w:p>
    <w:p w14:paraId="0526ADCB" w14:textId="77777777" w:rsidR="000D2E47" w:rsidRDefault="000D2E47" w:rsidP="000D2E47">
      <w:pPr>
        <w:rPr>
          <w:rFonts w:asciiTheme="minorHAnsi" w:hAnsiTheme="minorHAnsi"/>
          <w:i/>
        </w:rPr>
      </w:pPr>
    </w:p>
    <w:p w14:paraId="37E6063C" w14:textId="77777777" w:rsidR="000D2E47" w:rsidRDefault="000D2E47" w:rsidP="000D2E47">
      <w:pPr>
        <w:rPr>
          <w:rFonts w:asciiTheme="minorHAnsi" w:hAnsiTheme="minorHAnsi"/>
          <w:u w:val="single"/>
        </w:rPr>
      </w:pPr>
      <w:r w:rsidRPr="00E850B9">
        <w:rPr>
          <w:rFonts w:asciiTheme="minorHAnsi" w:hAnsiTheme="minorHAnsi"/>
          <w:u w:val="single"/>
        </w:rPr>
        <w:t>Reference:</w:t>
      </w:r>
    </w:p>
    <w:p w14:paraId="0E89FC33" w14:textId="77777777" w:rsidR="000D2E47" w:rsidRDefault="000D2E47" w:rsidP="000D2E47">
      <w:pPr>
        <w:rPr>
          <w:rFonts w:asciiTheme="minorHAnsi" w:hAnsiTheme="minorHAnsi"/>
          <w:u w:val="single"/>
        </w:rPr>
      </w:pPr>
    </w:p>
    <w:p w14:paraId="5E9CE02E" w14:textId="77777777" w:rsidR="000D2E47" w:rsidRDefault="000D2E47" w:rsidP="000D2E47">
      <w:pPr>
        <w:rPr>
          <w:rFonts w:asciiTheme="minorHAnsi" w:hAnsiTheme="minorHAnsi"/>
        </w:rPr>
      </w:pPr>
      <w:r w:rsidRPr="00BA4CB7">
        <w:rPr>
          <w:rFonts w:asciiTheme="minorHAnsi" w:hAnsiTheme="minorHAnsi"/>
        </w:rPr>
        <w:t xml:space="preserve">APPLETON, S., JONES, T., POOLE, P., PILOTTO, L., ADAMS, R., LASSERSON TOBY, J., SMITH, B. and MUHAMMED, J., 2006. </w:t>
      </w:r>
      <w:r w:rsidRPr="00BA4CB7">
        <w:rPr>
          <w:rFonts w:asciiTheme="minorHAnsi" w:hAnsiTheme="minorHAnsi"/>
          <w:i/>
          <w:iCs/>
        </w:rPr>
        <w:t xml:space="preserve">Ipratropium bromide versus short acting beta-2 agonists for stable chronic obstructive pulmonary disease. </w:t>
      </w:r>
      <w:r w:rsidRPr="00BA4CB7">
        <w:rPr>
          <w:rFonts w:asciiTheme="minorHAnsi" w:hAnsiTheme="minorHAnsi"/>
        </w:rPr>
        <w:t>John Wiley &amp; Sons, Ltd.</w:t>
      </w:r>
    </w:p>
    <w:p w14:paraId="435132A2" w14:textId="77777777" w:rsidR="000D2E47" w:rsidRPr="00E850B9" w:rsidRDefault="000D2E47" w:rsidP="000D2E47">
      <w:pPr>
        <w:rPr>
          <w:rFonts w:asciiTheme="minorHAnsi" w:hAnsiTheme="minorHAnsi"/>
        </w:rPr>
      </w:pPr>
    </w:p>
    <w:p w14:paraId="1D10363D" w14:textId="77777777" w:rsidR="000D2E47" w:rsidRDefault="000D2E47" w:rsidP="000D2E47">
      <w:pPr>
        <w:rPr>
          <w:rFonts w:asciiTheme="minorHAnsi" w:hAnsiTheme="minorHAnsi"/>
          <w:u w:val="single"/>
        </w:rPr>
      </w:pPr>
      <w:r w:rsidRPr="00E850B9">
        <w:rPr>
          <w:rFonts w:asciiTheme="minorHAnsi" w:hAnsiTheme="minorHAnsi"/>
          <w:u w:val="single"/>
        </w:rPr>
        <w:t>Brief description and what you have learned:</w:t>
      </w:r>
    </w:p>
    <w:p w14:paraId="11FD7D48" w14:textId="77777777" w:rsidR="000D2E47" w:rsidRDefault="000D2E47" w:rsidP="000D2E47">
      <w:pPr>
        <w:rPr>
          <w:rFonts w:asciiTheme="minorHAnsi" w:hAnsiTheme="minorHAnsi"/>
          <w:u w:val="single"/>
        </w:rPr>
      </w:pPr>
    </w:p>
    <w:p w14:paraId="44BBF2B2" w14:textId="77777777" w:rsidR="000D2E47" w:rsidRPr="00E850B9" w:rsidRDefault="000D2E47" w:rsidP="000D2E47">
      <w:pPr>
        <w:jc w:val="both"/>
        <w:rPr>
          <w:rFonts w:asciiTheme="minorHAnsi" w:hAnsiTheme="minorHAnsi"/>
        </w:rPr>
      </w:pPr>
      <w:r w:rsidRPr="00BA4CB7">
        <w:rPr>
          <w:rFonts w:asciiTheme="minorHAnsi" w:hAnsiTheme="minorHAnsi" w:cs="Calibri"/>
        </w:rPr>
        <w:t xml:space="preserve">This review considered 11 studies (3912 patients, comparing at least 1 month of therapy.  Only small benefits of SAMA (ipratropium) over a SABA was seen in terms of lung function, quality of life and reduction in requirement of oral steroids.  Combination therapy of SAMA and SABA improved lung function slightly, small reduction in requirement of oral steroid and no effect on quality of life. The authors suggest the advantage of ipratropium compared to a SABA is small so a SABA should be used initially over a SAMA. </w:t>
      </w:r>
      <w:proofErr w:type="gramStart"/>
      <w:r w:rsidRPr="00BA4CB7">
        <w:rPr>
          <w:rFonts w:asciiTheme="minorHAnsi" w:hAnsiTheme="minorHAnsi" w:cs="Calibri"/>
        </w:rPr>
        <w:t>Again</w:t>
      </w:r>
      <w:proofErr w:type="gramEnd"/>
      <w:r w:rsidRPr="00BA4CB7">
        <w:rPr>
          <w:rFonts w:asciiTheme="minorHAnsi" w:hAnsiTheme="minorHAnsi" w:cs="Calibri"/>
        </w:rPr>
        <w:t xml:space="preserve"> this mete-analysis looked at a range of drugs within the SABA class including nebulised and inhaled so difficult to compare directly all treatments as nebulised doses are much higher than inhale doses.  Three of the studies looked at salbutamol and ipratropium.  The authors recognise the limitations of the short studies included in the meta-analysis and also the need to compare with LABAs and LAMAs.</w:t>
      </w:r>
    </w:p>
    <w:p w14:paraId="795A71B3" w14:textId="77777777" w:rsidR="000D2E47" w:rsidRPr="00F11B48" w:rsidRDefault="000D2E47" w:rsidP="000D2E47">
      <w:pPr>
        <w:rPr>
          <w:rFonts w:asciiTheme="minorHAnsi" w:hAnsiTheme="minorHAnsi"/>
        </w:rPr>
      </w:pPr>
    </w:p>
    <w:p w14:paraId="21DCDA96" w14:textId="67F362BF" w:rsidR="000D2E47" w:rsidRPr="004A3DA1" w:rsidRDefault="000D2E47" w:rsidP="000D2E47">
      <w:pPr>
        <w:ind w:left="360" w:hanging="360"/>
        <w:rPr>
          <w:rFonts w:asciiTheme="minorHAnsi" w:hAnsiTheme="minorHAnsi"/>
          <w:b/>
        </w:rPr>
      </w:pPr>
      <w:r>
        <w:rPr>
          <w:rFonts w:asciiTheme="minorHAnsi" w:hAnsiTheme="minorHAnsi"/>
          <w:b/>
        </w:rPr>
        <w:t>Section</w:t>
      </w:r>
      <w:r w:rsidRPr="004A3DA1">
        <w:rPr>
          <w:rFonts w:asciiTheme="minorHAnsi" w:hAnsiTheme="minorHAnsi"/>
          <w:b/>
        </w:rPr>
        <w:t xml:space="preserve"> 2</w:t>
      </w:r>
      <w:r>
        <w:rPr>
          <w:rFonts w:asciiTheme="minorHAnsi" w:hAnsiTheme="minorHAnsi"/>
          <w:b/>
        </w:rPr>
        <w:t>c: Primary research papers</w:t>
      </w:r>
    </w:p>
    <w:p w14:paraId="30BA7194" w14:textId="77777777" w:rsidR="000D2E47" w:rsidRDefault="000D2E47" w:rsidP="000D2E47">
      <w:pPr>
        <w:ind w:left="360" w:hanging="360"/>
        <w:rPr>
          <w:rFonts w:asciiTheme="minorHAnsi" w:hAnsiTheme="minorHAnsi"/>
          <w:i/>
        </w:rPr>
      </w:pPr>
    </w:p>
    <w:p w14:paraId="7BA4005F" w14:textId="77777777" w:rsidR="000D2E47" w:rsidRPr="00957FC0" w:rsidRDefault="000D2E47" w:rsidP="000D2E47">
      <w:pPr>
        <w:rPr>
          <w:rFonts w:asciiTheme="minorHAnsi" w:hAnsiTheme="minorHAnsi"/>
          <w:i/>
        </w:rPr>
      </w:pPr>
      <w:r>
        <w:rPr>
          <w:rFonts w:asciiTheme="minorHAnsi" w:hAnsiTheme="minorHAnsi"/>
          <w:i/>
        </w:rPr>
        <w:t>Please describe</w:t>
      </w:r>
      <w:r w:rsidRPr="00F11B48">
        <w:rPr>
          <w:rFonts w:asciiTheme="minorHAnsi" w:hAnsiTheme="minorHAnsi"/>
          <w:i/>
        </w:rPr>
        <w:t xml:space="preserve"> reference</w:t>
      </w:r>
      <w:r>
        <w:rPr>
          <w:rFonts w:asciiTheme="minorHAnsi" w:hAnsiTheme="minorHAnsi"/>
          <w:i/>
        </w:rPr>
        <w:t xml:space="preserve">s for </w:t>
      </w:r>
      <w:r w:rsidRPr="00F11B48">
        <w:rPr>
          <w:rFonts w:asciiTheme="minorHAnsi" w:hAnsiTheme="minorHAnsi"/>
          <w:i/>
        </w:rPr>
        <w:t xml:space="preserve">primary research papers. </w:t>
      </w: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as required for the number of references required)</w:t>
      </w:r>
    </w:p>
    <w:p w14:paraId="5DAF32E6" w14:textId="77777777" w:rsidR="000D2E47" w:rsidRDefault="000D2E47" w:rsidP="000D2E47">
      <w:pPr>
        <w:ind w:left="360" w:hanging="360"/>
        <w:rPr>
          <w:rFonts w:asciiTheme="minorHAnsi" w:hAnsiTheme="minorHAnsi"/>
          <w:i/>
        </w:rPr>
      </w:pPr>
    </w:p>
    <w:p w14:paraId="25407B19" w14:textId="77777777" w:rsidR="000D2E47" w:rsidRDefault="000D2E47" w:rsidP="000D2E47">
      <w:pPr>
        <w:rPr>
          <w:rFonts w:asciiTheme="minorHAnsi" w:hAnsiTheme="minorHAnsi"/>
          <w:u w:val="single"/>
        </w:rPr>
      </w:pPr>
      <w:r w:rsidRPr="00C3355E">
        <w:rPr>
          <w:rFonts w:asciiTheme="minorHAnsi" w:hAnsiTheme="minorHAnsi"/>
          <w:u w:val="single"/>
        </w:rPr>
        <w:t>Reference:</w:t>
      </w:r>
    </w:p>
    <w:p w14:paraId="35BF23E2" w14:textId="77777777" w:rsidR="000D2E47" w:rsidRDefault="000D2E47" w:rsidP="000D2E47">
      <w:pPr>
        <w:rPr>
          <w:rFonts w:asciiTheme="minorHAnsi" w:hAnsiTheme="minorHAnsi"/>
        </w:rPr>
      </w:pPr>
    </w:p>
    <w:p w14:paraId="00D0589E" w14:textId="77777777" w:rsidR="000D2E47" w:rsidRPr="00C3355E" w:rsidRDefault="000D2E47" w:rsidP="000D2E47">
      <w:pPr>
        <w:rPr>
          <w:rFonts w:asciiTheme="minorHAnsi" w:hAnsiTheme="minorHAnsi"/>
        </w:rPr>
      </w:pPr>
      <w:proofErr w:type="spellStart"/>
      <w:r w:rsidRPr="00BA4CB7">
        <w:rPr>
          <w:rFonts w:asciiTheme="minorHAnsi" w:hAnsiTheme="minorHAnsi" w:cs="Calibri"/>
        </w:rPr>
        <w:t>Boscia</w:t>
      </w:r>
      <w:proofErr w:type="spellEnd"/>
      <w:r w:rsidRPr="00BA4CB7">
        <w:rPr>
          <w:rFonts w:asciiTheme="minorHAnsi" w:hAnsiTheme="minorHAnsi" w:cs="Calibri"/>
        </w:rPr>
        <w:t xml:space="preserve">, J. </w:t>
      </w:r>
      <w:proofErr w:type="spellStart"/>
      <w:r w:rsidRPr="00BA4CB7">
        <w:rPr>
          <w:rFonts w:asciiTheme="minorHAnsi" w:hAnsiTheme="minorHAnsi" w:cs="Calibri"/>
        </w:rPr>
        <w:t>Pudi</w:t>
      </w:r>
      <w:proofErr w:type="spellEnd"/>
      <w:r w:rsidRPr="00BA4CB7">
        <w:rPr>
          <w:rFonts w:asciiTheme="minorHAnsi" w:hAnsiTheme="minorHAnsi" w:cs="Calibri"/>
        </w:rPr>
        <w:t xml:space="preserve">, K. </w:t>
      </w:r>
      <w:proofErr w:type="spellStart"/>
      <w:r w:rsidRPr="00BA4CB7">
        <w:rPr>
          <w:rFonts w:asciiTheme="minorHAnsi" w:hAnsiTheme="minorHAnsi" w:cs="Calibri"/>
        </w:rPr>
        <w:t>Zvarich</w:t>
      </w:r>
      <w:proofErr w:type="spellEnd"/>
      <w:r w:rsidRPr="00BA4CB7">
        <w:rPr>
          <w:rFonts w:asciiTheme="minorHAnsi" w:hAnsiTheme="minorHAnsi" w:cs="Calibri"/>
        </w:rPr>
        <w:t xml:space="preserve">, M. Sanford, L. </w:t>
      </w:r>
      <w:proofErr w:type="spellStart"/>
      <w:r w:rsidRPr="00BA4CB7">
        <w:rPr>
          <w:rFonts w:asciiTheme="minorHAnsi" w:hAnsiTheme="minorHAnsi" w:cs="Calibri"/>
        </w:rPr>
        <w:t>Siederer</w:t>
      </w:r>
      <w:proofErr w:type="spellEnd"/>
      <w:r w:rsidRPr="00BA4CB7">
        <w:rPr>
          <w:rFonts w:asciiTheme="minorHAnsi" w:hAnsiTheme="minorHAnsi" w:cs="Calibri"/>
        </w:rPr>
        <w:t xml:space="preserve">, S. Crim, C. (2012). Effect of once-daily fluticasone furoate/vilanterol on 24-hour pulmonary function in patients with chronic obstructive pulmonary disease: a randomized, three-way, incomplete block, crossover study. </w:t>
      </w:r>
      <w:r w:rsidRPr="00BA4CB7">
        <w:rPr>
          <w:rFonts w:asciiTheme="minorHAnsi" w:hAnsiTheme="minorHAnsi" w:cs="Calibri"/>
          <w:i/>
        </w:rPr>
        <w:t>Clinical Therapeutics</w:t>
      </w:r>
      <w:r w:rsidRPr="00BA4CB7">
        <w:rPr>
          <w:rFonts w:asciiTheme="minorHAnsi" w:hAnsiTheme="minorHAnsi" w:cs="Calibri"/>
        </w:rPr>
        <w:t>. 34 (8), Pages 1655-1666.</w:t>
      </w:r>
    </w:p>
    <w:p w14:paraId="53E44BC3" w14:textId="77777777" w:rsidR="000D2E47" w:rsidRPr="00C3355E" w:rsidRDefault="000D2E47" w:rsidP="000D2E47">
      <w:pPr>
        <w:rPr>
          <w:rFonts w:asciiTheme="minorHAnsi" w:hAnsiTheme="minorHAnsi"/>
          <w:u w:val="single"/>
        </w:rPr>
      </w:pPr>
      <w:r w:rsidRPr="00C3355E">
        <w:rPr>
          <w:rFonts w:asciiTheme="minorHAnsi" w:hAnsiTheme="minorHAnsi"/>
          <w:u w:val="single"/>
        </w:rPr>
        <w:t>Brief description and what you have learned:</w:t>
      </w:r>
    </w:p>
    <w:p w14:paraId="783B51AD" w14:textId="77777777" w:rsidR="000D2E47" w:rsidRDefault="000D2E47" w:rsidP="000D2E47">
      <w:pPr>
        <w:ind w:left="360" w:hanging="360"/>
        <w:rPr>
          <w:rFonts w:asciiTheme="minorHAnsi" w:hAnsiTheme="minorHAnsi"/>
        </w:rPr>
      </w:pPr>
    </w:p>
    <w:p w14:paraId="16B95D5A" w14:textId="77777777" w:rsidR="000D2E47" w:rsidRDefault="000D2E47" w:rsidP="000D2E47">
      <w:pPr>
        <w:pStyle w:val="Heading2"/>
        <w:jc w:val="both"/>
        <w:rPr>
          <w:rFonts w:asciiTheme="minorHAnsi" w:hAnsiTheme="minorHAnsi"/>
          <w:b w:val="0"/>
          <w:sz w:val="24"/>
          <w:u w:val="none"/>
        </w:rPr>
      </w:pPr>
      <w:r w:rsidRPr="00C3355E">
        <w:rPr>
          <w:rFonts w:asciiTheme="minorHAnsi" w:hAnsiTheme="minorHAnsi"/>
          <w:b w:val="0"/>
          <w:sz w:val="24"/>
          <w:u w:val="none"/>
        </w:rPr>
        <w:t xml:space="preserve">This trial assessed the once daily dose of fluticasone furoate, the ICS molecule used in the new </w:t>
      </w:r>
      <w:proofErr w:type="spellStart"/>
      <w:r w:rsidRPr="00C3355E">
        <w:rPr>
          <w:rFonts w:asciiTheme="minorHAnsi" w:hAnsiTheme="minorHAnsi"/>
          <w:b w:val="0"/>
          <w:sz w:val="24"/>
          <w:u w:val="none"/>
        </w:rPr>
        <w:t>Relvar</w:t>
      </w:r>
      <w:proofErr w:type="spellEnd"/>
      <w:r w:rsidRPr="00C3355E">
        <w:rPr>
          <w:rFonts w:asciiTheme="minorHAnsi" w:hAnsiTheme="minorHAnsi"/>
          <w:b w:val="0"/>
          <w:sz w:val="24"/>
          <w:u w:val="none"/>
        </w:rPr>
        <w:t xml:space="preserve"> Ellipta. This compared outcomes to current treatment i.e. twice daily administration of a combination inhaler containing fluticasone propionate (Seretide) with the outcomes of using once daily administration of the fluticasone furoate </w:t>
      </w:r>
      <w:r w:rsidRPr="00C3355E">
        <w:rPr>
          <w:rFonts w:asciiTheme="minorHAnsi" w:hAnsiTheme="minorHAnsi"/>
          <w:b w:val="0"/>
          <w:sz w:val="24"/>
          <w:u w:val="none"/>
        </w:rPr>
        <w:lastRenderedPageBreak/>
        <w:t>molecule (</w:t>
      </w:r>
      <w:proofErr w:type="spellStart"/>
      <w:r w:rsidRPr="00C3355E">
        <w:rPr>
          <w:rFonts w:asciiTheme="minorHAnsi" w:hAnsiTheme="minorHAnsi"/>
          <w:b w:val="0"/>
          <w:sz w:val="24"/>
          <w:u w:val="none"/>
        </w:rPr>
        <w:t>Relvar</w:t>
      </w:r>
      <w:proofErr w:type="spellEnd"/>
      <w:r w:rsidRPr="00C3355E">
        <w:rPr>
          <w:rFonts w:asciiTheme="minorHAnsi" w:hAnsiTheme="minorHAnsi"/>
          <w:b w:val="0"/>
          <w:sz w:val="24"/>
          <w:u w:val="none"/>
        </w:rPr>
        <w:t xml:space="preserve">). The outcomes showed that the once daily dose was non-inferior in terms of therapeutic outcomes. The study suggests that patient adherence/compliance may be improved with once daily versus twice daily dosing. I agree with this aspect for a large number of (but not all) patients. Studies like this allowed for acceptance of the GSK portfolio of Ellipta products. </w:t>
      </w:r>
      <w:proofErr w:type="spellStart"/>
      <w:r w:rsidRPr="00C3355E">
        <w:rPr>
          <w:rFonts w:asciiTheme="minorHAnsi" w:hAnsiTheme="minorHAnsi"/>
          <w:b w:val="0"/>
          <w:sz w:val="24"/>
          <w:u w:val="none"/>
        </w:rPr>
        <w:t>Relvar</w:t>
      </w:r>
      <w:proofErr w:type="spellEnd"/>
      <w:r w:rsidRPr="00C3355E">
        <w:rPr>
          <w:rFonts w:asciiTheme="minorHAnsi" w:hAnsiTheme="minorHAnsi"/>
          <w:b w:val="0"/>
          <w:sz w:val="24"/>
          <w:u w:val="none"/>
        </w:rPr>
        <w:t xml:space="preserve"> Ellipta is used in asthma and COPD (lower dose 92/22 only in COPD due to increases in phenomena cases seen with 184/22).</w:t>
      </w:r>
    </w:p>
    <w:p w14:paraId="3B5BE365" w14:textId="77777777" w:rsidR="000D2E47" w:rsidRPr="000D2E47" w:rsidRDefault="000D2E47" w:rsidP="000D2E47">
      <w:pPr>
        <w:rPr>
          <w:lang w:eastAsia="en-US"/>
        </w:rPr>
      </w:pPr>
    </w:p>
    <w:p w14:paraId="2E4D12FF" w14:textId="47FF58F9" w:rsidR="003068F2" w:rsidRDefault="00EB5433" w:rsidP="003068F2">
      <w:pPr>
        <w:rPr>
          <w:rFonts w:asciiTheme="minorHAnsi" w:hAnsiTheme="minorHAnsi"/>
          <w:b/>
        </w:rPr>
      </w:pPr>
      <w:r>
        <w:rPr>
          <w:rFonts w:asciiTheme="minorHAnsi" w:hAnsiTheme="minorHAnsi"/>
          <w:b/>
        </w:rPr>
        <w:t>Section</w:t>
      </w:r>
      <w:r w:rsidR="001B150E" w:rsidRPr="001B150E">
        <w:rPr>
          <w:rFonts w:asciiTheme="minorHAnsi" w:hAnsiTheme="minorHAnsi"/>
          <w:b/>
        </w:rPr>
        <w:t xml:space="preserve"> 2d: Summary</w:t>
      </w:r>
      <w:r w:rsidR="001B150E">
        <w:rPr>
          <w:rFonts w:asciiTheme="minorHAnsi" w:hAnsiTheme="minorHAnsi"/>
          <w:b/>
        </w:rPr>
        <w:t xml:space="preserve"> notes on drugs that you will prescribe</w:t>
      </w:r>
    </w:p>
    <w:p w14:paraId="207696C5" w14:textId="77777777" w:rsidR="001B150E" w:rsidRPr="001B150E" w:rsidRDefault="001B150E" w:rsidP="003068F2">
      <w:pPr>
        <w:rPr>
          <w:rFonts w:asciiTheme="minorHAnsi" w:hAnsiTheme="minorHAnsi"/>
          <w:b/>
        </w:rPr>
      </w:pPr>
    </w:p>
    <w:p w14:paraId="5A4C5840" w14:textId="7CAFD146" w:rsidR="003363C1" w:rsidRPr="00957FC0" w:rsidRDefault="003363C1" w:rsidP="003363C1">
      <w:pPr>
        <w:rPr>
          <w:rFonts w:asciiTheme="minorHAnsi" w:hAnsiTheme="minorHAnsi"/>
          <w:i/>
        </w:rPr>
      </w:pPr>
      <w:r>
        <w:rPr>
          <w:rFonts w:asciiTheme="minorHAnsi" w:hAnsiTheme="minorHAnsi"/>
          <w:i/>
        </w:rPr>
        <w:t>S</w:t>
      </w:r>
      <w:r w:rsidRPr="004A3DA1">
        <w:rPr>
          <w:rFonts w:asciiTheme="minorHAnsi" w:hAnsiTheme="minorHAnsi"/>
          <w:i/>
        </w:rPr>
        <w:t xml:space="preserve">ummarise </w:t>
      </w:r>
      <w:r>
        <w:rPr>
          <w:rFonts w:asciiTheme="minorHAnsi" w:hAnsiTheme="minorHAnsi"/>
          <w:i/>
        </w:rPr>
        <w:t xml:space="preserve">information relating to </w:t>
      </w:r>
      <w:r w:rsidRPr="00F11B48">
        <w:rPr>
          <w:rFonts w:asciiTheme="minorHAnsi" w:hAnsiTheme="minorHAnsi"/>
          <w:i/>
        </w:rPr>
        <w:t>the drugs that you will prescribe</w:t>
      </w:r>
      <w:r>
        <w:rPr>
          <w:rFonts w:asciiTheme="minorHAnsi" w:hAnsiTheme="minorHAnsi"/>
          <w:i/>
        </w:rPr>
        <w:t xml:space="preserve"> using the headings below. </w:t>
      </w: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w:t>
      </w:r>
      <w:r>
        <w:rPr>
          <w:rFonts w:asciiTheme="minorHAnsi" w:hAnsiTheme="minorHAnsi"/>
          <w:i/>
        </w:rPr>
        <w:t xml:space="preserve">to cover all the groups of drugs and drugs in your </w:t>
      </w:r>
      <w:r w:rsidR="008A343C">
        <w:rPr>
          <w:rFonts w:asciiTheme="minorHAnsi" w:hAnsiTheme="minorHAnsi"/>
          <w:i/>
        </w:rPr>
        <w:t>scope</w:t>
      </w:r>
      <w:r w:rsidRPr="00957FC0">
        <w:rPr>
          <w:rFonts w:asciiTheme="minorHAnsi" w:hAnsiTheme="minorHAnsi"/>
          <w:i/>
        </w:rPr>
        <w:t>)</w:t>
      </w:r>
      <w:r w:rsidR="008A343C">
        <w:rPr>
          <w:rFonts w:asciiTheme="minorHAnsi" w:hAnsiTheme="minorHAnsi"/>
          <w:i/>
        </w:rPr>
        <w:t>.</w:t>
      </w:r>
    </w:p>
    <w:p w14:paraId="6AA1412A" w14:textId="77777777" w:rsidR="003363C1" w:rsidRDefault="003363C1" w:rsidP="003068F2">
      <w:pPr>
        <w:rPr>
          <w:rFonts w:asciiTheme="minorHAnsi" w:hAnsiTheme="minorHAnsi"/>
          <w:i/>
        </w:rPr>
      </w:pPr>
    </w:p>
    <w:p w14:paraId="0408B99E" w14:textId="50FCEED3" w:rsidR="003363C1" w:rsidRDefault="003363C1" w:rsidP="003363C1">
      <w:pPr>
        <w:rPr>
          <w:rFonts w:asciiTheme="minorHAnsi" w:hAnsiTheme="minorHAnsi"/>
          <w:u w:val="single"/>
        </w:rPr>
      </w:pPr>
      <w:r w:rsidRPr="00606D92">
        <w:rPr>
          <w:rFonts w:asciiTheme="minorHAnsi" w:hAnsiTheme="minorHAnsi"/>
          <w:u w:val="single"/>
        </w:rPr>
        <w:t>Drug group and individual agents:</w:t>
      </w:r>
    </w:p>
    <w:p w14:paraId="1262EFC5" w14:textId="7895073E" w:rsidR="00606D92" w:rsidRDefault="00606D92" w:rsidP="003363C1">
      <w:pPr>
        <w:rPr>
          <w:rFonts w:asciiTheme="minorHAnsi" w:hAnsiTheme="minorHAnsi"/>
          <w:u w:val="single"/>
        </w:rPr>
      </w:pPr>
    </w:p>
    <w:p w14:paraId="0843DBF3" w14:textId="40B3C7E3" w:rsidR="00606D92" w:rsidRPr="00606D92" w:rsidRDefault="00606D92" w:rsidP="003363C1">
      <w:pPr>
        <w:rPr>
          <w:rFonts w:asciiTheme="minorHAnsi" w:hAnsiTheme="minorHAnsi"/>
        </w:rPr>
      </w:pPr>
      <w:r>
        <w:rPr>
          <w:rFonts w:asciiTheme="minorHAnsi" w:hAnsiTheme="minorHAnsi"/>
        </w:rPr>
        <w:t>LABA + LAMA</w:t>
      </w:r>
    </w:p>
    <w:p w14:paraId="12C4C994" w14:textId="5DC59C51" w:rsidR="003363C1" w:rsidRPr="00606D92" w:rsidRDefault="003363C1" w:rsidP="003068F2">
      <w:pPr>
        <w:rPr>
          <w:rFonts w:asciiTheme="minorHAnsi" w:hAnsiTheme="minorHAnsi"/>
          <w:u w:val="single"/>
        </w:rPr>
      </w:pPr>
    </w:p>
    <w:p w14:paraId="010AB8EE" w14:textId="480FF3FB" w:rsidR="003363C1" w:rsidRDefault="003363C1" w:rsidP="003068F2">
      <w:pPr>
        <w:rPr>
          <w:rFonts w:asciiTheme="minorHAnsi" w:hAnsiTheme="minorHAnsi"/>
          <w:u w:val="single"/>
        </w:rPr>
      </w:pPr>
      <w:r w:rsidRPr="00606D92">
        <w:rPr>
          <w:rFonts w:asciiTheme="minorHAnsi" w:hAnsiTheme="minorHAnsi"/>
          <w:u w:val="single"/>
        </w:rPr>
        <w:t xml:space="preserve">Notes on </w:t>
      </w:r>
      <w:r w:rsidR="009B1EEF" w:rsidRPr="00606D92">
        <w:rPr>
          <w:rFonts w:asciiTheme="minorHAnsi" w:hAnsiTheme="minorHAnsi"/>
          <w:u w:val="single"/>
        </w:rPr>
        <w:t>evidence-based</w:t>
      </w:r>
      <w:r w:rsidRPr="00606D92">
        <w:rPr>
          <w:rFonts w:asciiTheme="minorHAnsi" w:hAnsiTheme="minorHAnsi"/>
          <w:u w:val="single"/>
        </w:rPr>
        <w:t xml:space="preserve"> issues:</w:t>
      </w:r>
    </w:p>
    <w:p w14:paraId="270FCD9C" w14:textId="244FA2F4" w:rsidR="00606D92" w:rsidRDefault="00606D92" w:rsidP="003068F2">
      <w:pPr>
        <w:rPr>
          <w:rFonts w:asciiTheme="minorHAnsi" w:hAnsiTheme="minorHAnsi"/>
          <w:u w:val="single"/>
        </w:rPr>
      </w:pPr>
    </w:p>
    <w:p w14:paraId="1E2B36D8" w14:textId="47422E5D" w:rsidR="00606D92" w:rsidRDefault="00606D92" w:rsidP="00606D92">
      <w:pPr>
        <w:jc w:val="both"/>
        <w:rPr>
          <w:rFonts w:asciiTheme="minorHAnsi" w:hAnsiTheme="minorHAnsi" w:cs="Calibri"/>
        </w:rPr>
      </w:pPr>
      <w:r w:rsidRPr="00BA4CB7">
        <w:rPr>
          <w:rFonts w:asciiTheme="minorHAnsi" w:hAnsiTheme="minorHAnsi" w:cs="Calibri"/>
        </w:rPr>
        <w:t>LAMA alone is the first element of many COPD pathways, including that in Northern Lincolnshire. However, regions with more advanced/experienced teams are tending towards the use of a LABA+LAMA first line. This is because there are very few side effects associated with the addition of a LABA. Any breathlessness, particularly on awakening, is improved with the addition of a LABA and the devices are the same (very effective DPI and MDI options). The economic impact of adding the LABA is cost neutral. The two active components are always prescribed in a combination device. This is to improve compliance, make technique easier to explain and to keep expenditure well controlled. DPI = dry powder inhaler and MDI = metered dose inhaler i.e. aerosol.</w:t>
      </w:r>
    </w:p>
    <w:p w14:paraId="50F98817" w14:textId="0FE6C030" w:rsidR="00606D92" w:rsidRDefault="00606D92" w:rsidP="00606D92">
      <w:pPr>
        <w:jc w:val="both"/>
        <w:rPr>
          <w:rFonts w:asciiTheme="minorHAnsi" w:hAnsiTheme="minorHAnsi" w:cs="Calibri"/>
        </w:rPr>
      </w:pPr>
    </w:p>
    <w:p w14:paraId="7C5120A2" w14:textId="5E447747" w:rsidR="00606D92" w:rsidRDefault="00606D92" w:rsidP="00606D92">
      <w:pPr>
        <w:rPr>
          <w:rFonts w:asciiTheme="minorHAnsi" w:hAnsiTheme="minorHAnsi"/>
          <w:u w:val="single"/>
        </w:rPr>
      </w:pPr>
      <w:r w:rsidRPr="00606D92">
        <w:rPr>
          <w:rFonts w:asciiTheme="minorHAnsi" w:hAnsiTheme="minorHAnsi"/>
          <w:u w:val="single"/>
        </w:rPr>
        <w:t>Drug group and individual agents:</w:t>
      </w:r>
    </w:p>
    <w:p w14:paraId="03A0C766" w14:textId="4A0E370C" w:rsidR="00606D92" w:rsidRDefault="00606D92" w:rsidP="00606D92">
      <w:pPr>
        <w:rPr>
          <w:rFonts w:asciiTheme="minorHAnsi" w:hAnsiTheme="minorHAnsi"/>
          <w:u w:val="single"/>
        </w:rPr>
      </w:pPr>
    </w:p>
    <w:p w14:paraId="1E629A88" w14:textId="77A0803B" w:rsidR="00606D92" w:rsidRDefault="00606D92" w:rsidP="00606D92">
      <w:pPr>
        <w:rPr>
          <w:rFonts w:asciiTheme="minorHAnsi" w:hAnsiTheme="minorHAnsi" w:cs="Calibri"/>
        </w:rPr>
      </w:pPr>
      <w:r w:rsidRPr="00BA4CB7">
        <w:rPr>
          <w:rFonts w:asciiTheme="minorHAnsi" w:hAnsiTheme="minorHAnsi" w:cs="Calibri"/>
        </w:rPr>
        <w:t>PPI</w:t>
      </w:r>
      <w:r>
        <w:rPr>
          <w:rFonts w:asciiTheme="minorHAnsi" w:hAnsiTheme="minorHAnsi" w:cs="Calibri"/>
        </w:rPr>
        <w:t xml:space="preserve"> </w:t>
      </w:r>
      <w:r w:rsidRPr="00BA4CB7">
        <w:rPr>
          <w:rFonts w:asciiTheme="minorHAnsi" w:hAnsiTheme="minorHAnsi" w:cs="Calibri"/>
        </w:rPr>
        <w:t>(Proton Pump Inhibitor)</w:t>
      </w:r>
    </w:p>
    <w:p w14:paraId="63644A4C" w14:textId="198330FC" w:rsidR="00606D92" w:rsidRDefault="00606D92" w:rsidP="00606D92">
      <w:pPr>
        <w:rPr>
          <w:rFonts w:asciiTheme="minorHAnsi" w:hAnsiTheme="minorHAnsi" w:cs="Calibri"/>
        </w:rPr>
      </w:pPr>
    </w:p>
    <w:p w14:paraId="2E29EF95" w14:textId="77777777" w:rsidR="00606D92" w:rsidRDefault="00606D92" w:rsidP="00606D92">
      <w:pPr>
        <w:rPr>
          <w:rFonts w:asciiTheme="minorHAnsi" w:hAnsiTheme="minorHAnsi"/>
          <w:u w:val="single"/>
        </w:rPr>
      </w:pPr>
      <w:r w:rsidRPr="00606D92">
        <w:rPr>
          <w:rFonts w:asciiTheme="minorHAnsi" w:hAnsiTheme="minorHAnsi"/>
          <w:u w:val="single"/>
        </w:rPr>
        <w:t>Notes on evidence-based issues:</w:t>
      </w:r>
    </w:p>
    <w:p w14:paraId="58FAF230" w14:textId="007CB572" w:rsidR="00606D92" w:rsidRDefault="00606D92" w:rsidP="00606D92">
      <w:pPr>
        <w:rPr>
          <w:rFonts w:asciiTheme="minorHAnsi" w:hAnsiTheme="minorHAnsi" w:cs="Calibri"/>
        </w:rPr>
      </w:pPr>
    </w:p>
    <w:p w14:paraId="4B498C36" w14:textId="4B0722B6" w:rsidR="00606D92" w:rsidRDefault="00606D92" w:rsidP="00606D92">
      <w:pPr>
        <w:jc w:val="both"/>
        <w:rPr>
          <w:rFonts w:asciiTheme="minorHAnsi" w:hAnsiTheme="minorHAnsi" w:cs="Calibri"/>
        </w:rPr>
      </w:pPr>
      <w:r w:rsidRPr="00BA4CB7">
        <w:rPr>
          <w:rFonts w:asciiTheme="minorHAnsi" w:hAnsiTheme="minorHAnsi" w:cs="Calibri"/>
        </w:rPr>
        <w:t>This is used as part of reflux therapy. Reflux is not to be confused with heartburn or indigestion. The correct amount of acid in the correct place is needed. However, due to several factors including diet and physiological changes, respiratory patients experience effects of reflux. PPIs can either be given as a once daily or twice daily dose depending on the severity and timing of symptoms. The aim is the lowest dose at once daily (usually morning) to control the symptoms. Higher doses are usually needed for the first 4-8 weeks of treatment and then further assessment is made.</w:t>
      </w:r>
    </w:p>
    <w:p w14:paraId="6BCB86B1" w14:textId="1A0A47EF" w:rsidR="008A343C" w:rsidRDefault="008A343C" w:rsidP="00606D92">
      <w:pPr>
        <w:jc w:val="both"/>
        <w:rPr>
          <w:rFonts w:asciiTheme="minorHAnsi" w:hAnsiTheme="minorHAnsi" w:cs="Calibri"/>
        </w:rPr>
      </w:pPr>
    </w:p>
    <w:p w14:paraId="17765752" w14:textId="3200A0CF" w:rsidR="008A343C" w:rsidRDefault="008A343C" w:rsidP="00606D92">
      <w:pPr>
        <w:jc w:val="both"/>
        <w:rPr>
          <w:rFonts w:asciiTheme="minorHAnsi" w:hAnsiTheme="minorHAnsi" w:cs="Calibri"/>
        </w:rPr>
      </w:pPr>
    </w:p>
    <w:p w14:paraId="5D25EBA1" w14:textId="77777777" w:rsidR="008A343C" w:rsidRPr="00606D92" w:rsidRDefault="008A343C" w:rsidP="00606D92">
      <w:pPr>
        <w:jc w:val="both"/>
        <w:rPr>
          <w:rFonts w:asciiTheme="minorHAnsi" w:hAnsiTheme="minorHAnsi" w:cs="Calibri"/>
        </w:rPr>
      </w:pPr>
    </w:p>
    <w:p w14:paraId="043B121D" w14:textId="77777777" w:rsidR="008A343C" w:rsidRPr="0028185F" w:rsidRDefault="008A343C" w:rsidP="008A343C">
      <w:pPr>
        <w:pStyle w:val="ListParagraph"/>
        <w:numPr>
          <w:ilvl w:val="0"/>
          <w:numId w:val="12"/>
        </w:numPr>
        <w:ind w:left="284" w:hanging="284"/>
        <w:rPr>
          <w:rFonts w:asciiTheme="minorHAnsi" w:hAnsiTheme="minorHAnsi" w:cstheme="minorHAnsi"/>
          <w:b/>
          <w:u w:val="single"/>
        </w:rPr>
      </w:pPr>
      <w:bookmarkStart w:id="0" w:name="_Hlk50978876"/>
      <w:r w:rsidRPr="0028185F">
        <w:rPr>
          <w:rFonts w:asciiTheme="minorHAnsi" w:hAnsiTheme="minorHAnsi" w:cstheme="minorHAnsi"/>
          <w:b/>
          <w:u w:val="single"/>
        </w:rPr>
        <w:lastRenderedPageBreak/>
        <w:t>Adverse Effects, Pharmaceutical Public Health and Pharmacoeconomics</w:t>
      </w:r>
    </w:p>
    <w:bookmarkEnd w:id="0"/>
    <w:p w14:paraId="69328C58" w14:textId="77777777" w:rsidR="008A343C" w:rsidRPr="0028185F" w:rsidRDefault="008A343C" w:rsidP="008A343C">
      <w:pPr>
        <w:rPr>
          <w:rFonts w:asciiTheme="minorHAnsi" w:hAnsiTheme="minorHAnsi" w:cstheme="minorHAnsi"/>
          <w:b/>
        </w:rPr>
      </w:pPr>
    </w:p>
    <w:p w14:paraId="533EF372" w14:textId="77777777" w:rsidR="008A343C" w:rsidRPr="0028185F" w:rsidRDefault="008A343C" w:rsidP="008A343C">
      <w:pPr>
        <w:jc w:val="both"/>
        <w:rPr>
          <w:rFonts w:asciiTheme="minorHAnsi" w:hAnsiTheme="minorHAnsi" w:cstheme="minorHAnsi"/>
        </w:rPr>
      </w:pPr>
      <w:r w:rsidRPr="0028185F">
        <w:rPr>
          <w:rFonts w:asciiTheme="minorHAnsi" w:hAnsiTheme="minorHAnsi" w:cstheme="minorHAnsi"/>
        </w:rPr>
        <w:t xml:space="preserve">In this section you </w:t>
      </w:r>
      <w:r w:rsidRPr="0028185F">
        <w:rPr>
          <w:rFonts w:asciiTheme="minorHAnsi" w:hAnsiTheme="minorHAnsi" w:cstheme="minorHAnsi"/>
          <w:bCs/>
        </w:rPr>
        <w:t>will focus on the adverse effects of the prescribed medicines, as the beneficial effects are covered in the evidence-based research guidelines. Consider what the common and rare adverse effects are. Pharmaceutical public health involves</w:t>
      </w:r>
      <w:r w:rsidRPr="0028185F">
        <w:rPr>
          <w:rFonts w:asciiTheme="minorHAnsi" w:hAnsiTheme="minorHAnsi" w:cstheme="minorHAnsi"/>
        </w:rPr>
        <w:t xml:space="preserve"> gathering the generic ‘public health’ information relevant to your prescribing area. How much is included will depend on </w:t>
      </w:r>
      <w:r w:rsidRPr="0028185F">
        <w:rPr>
          <w:rFonts w:asciiTheme="minorHAnsi" w:hAnsiTheme="minorHAnsi" w:cstheme="minorHAnsi"/>
          <w:bCs/>
        </w:rPr>
        <w:t>your</w:t>
      </w:r>
      <w:r w:rsidRPr="0028185F">
        <w:rPr>
          <w:rFonts w:asciiTheme="minorHAnsi" w:hAnsiTheme="minorHAnsi" w:cstheme="minorHAnsi"/>
        </w:rPr>
        <w:t xml:space="preserve"> prescribing area, for instance, if you are involved in prescribing in an area that has direct impact on public health, e.g. primary prevention of cardiovascular disease, then that would warrant more information. On the other hand, if you are prescribing very expensive medicines then more on economics might be available.</w:t>
      </w:r>
    </w:p>
    <w:p w14:paraId="310E3056" w14:textId="77777777" w:rsidR="008A343C" w:rsidRPr="0028185F" w:rsidRDefault="008A343C" w:rsidP="008A343C">
      <w:pPr>
        <w:rPr>
          <w:rFonts w:asciiTheme="minorHAnsi" w:hAnsiTheme="minorHAnsi" w:cstheme="minorHAnsi"/>
        </w:rPr>
      </w:pPr>
    </w:p>
    <w:p w14:paraId="08611781" w14:textId="77777777" w:rsidR="008A343C" w:rsidRPr="0028185F" w:rsidRDefault="008A343C" w:rsidP="008A343C">
      <w:pPr>
        <w:jc w:val="both"/>
        <w:rPr>
          <w:rFonts w:asciiTheme="minorHAnsi" w:hAnsiTheme="minorHAnsi" w:cstheme="minorHAnsi"/>
        </w:rPr>
      </w:pPr>
      <w:r w:rsidRPr="0028185F">
        <w:rPr>
          <w:rFonts w:asciiTheme="minorHAnsi" w:hAnsiTheme="minorHAnsi" w:cstheme="minorHAnsi"/>
          <w:b/>
          <w:bCs/>
        </w:rPr>
        <w:t xml:space="preserve">Pharmacoeconomics. </w:t>
      </w:r>
      <w:r w:rsidRPr="0028185F">
        <w:rPr>
          <w:rFonts w:asciiTheme="minorHAnsi" w:hAnsiTheme="minorHAnsi" w:cstheme="minorHAnsi"/>
        </w:rPr>
        <w:t>This will describe factors such as the cost/benefit, cost/ effectiveness, cost/utility and risk/benefit analysis</w:t>
      </w:r>
    </w:p>
    <w:p w14:paraId="6473EA9E" w14:textId="77777777" w:rsidR="000858B9" w:rsidRPr="00F11B48" w:rsidRDefault="000858B9" w:rsidP="001B150E">
      <w:pPr>
        <w:jc w:val="both"/>
        <w:rPr>
          <w:rFonts w:asciiTheme="minorHAnsi" w:hAnsiTheme="minorHAnsi"/>
          <w:b/>
        </w:rPr>
      </w:pPr>
    </w:p>
    <w:p w14:paraId="366219CE" w14:textId="253D5031" w:rsidR="006330AA" w:rsidRPr="003B2381" w:rsidRDefault="00EB5433" w:rsidP="006330AA">
      <w:pPr>
        <w:rPr>
          <w:rFonts w:asciiTheme="minorHAnsi" w:hAnsiTheme="minorHAnsi"/>
          <w:b/>
        </w:rPr>
      </w:pPr>
      <w:r>
        <w:rPr>
          <w:rFonts w:asciiTheme="minorHAnsi" w:hAnsiTheme="minorHAnsi"/>
          <w:b/>
        </w:rPr>
        <w:t>Section</w:t>
      </w:r>
      <w:r w:rsidR="001B150E" w:rsidRPr="003B2381">
        <w:rPr>
          <w:rFonts w:asciiTheme="minorHAnsi" w:hAnsiTheme="minorHAnsi"/>
          <w:b/>
        </w:rPr>
        <w:t xml:space="preserve"> 3a: Reference sources </w:t>
      </w:r>
    </w:p>
    <w:p w14:paraId="40C173F1" w14:textId="77777777" w:rsidR="006330AA" w:rsidRPr="00F11B48" w:rsidRDefault="006330AA" w:rsidP="006330AA">
      <w:pPr>
        <w:rPr>
          <w:rFonts w:asciiTheme="minorHAnsi" w:hAnsiTheme="minorHAnsi"/>
        </w:rPr>
      </w:pPr>
    </w:p>
    <w:p w14:paraId="4CBAE200" w14:textId="387CFA6F" w:rsidR="00D7627A" w:rsidRPr="00F11B48" w:rsidRDefault="00D7627A" w:rsidP="00D7627A">
      <w:pPr>
        <w:rPr>
          <w:rFonts w:asciiTheme="minorHAnsi" w:hAnsiTheme="minorHAnsi"/>
          <w:i/>
        </w:rPr>
      </w:pPr>
      <w:r>
        <w:rPr>
          <w:rFonts w:asciiTheme="minorHAnsi" w:hAnsiTheme="minorHAnsi"/>
          <w:i/>
        </w:rPr>
        <w:t>Please detail</w:t>
      </w:r>
      <w:r w:rsidRPr="00F11B48">
        <w:rPr>
          <w:rFonts w:asciiTheme="minorHAnsi" w:hAnsiTheme="minorHAnsi"/>
          <w:i/>
        </w:rPr>
        <w:t xml:space="preserve"> below a reference list of articles o</w:t>
      </w:r>
      <w:r>
        <w:rPr>
          <w:rFonts w:asciiTheme="minorHAnsi" w:hAnsiTheme="minorHAnsi"/>
          <w:i/>
        </w:rPr>
        <w:t xml:space="preserve">r </w:t>
      </w:r>
      <w:r w:rsidRPr="00F11B48">
        <w:rPr>
          <w:rFonts w:asciiTheme="minorHAnsi" w:hAnsiTheme="minorHAnsi"/>
          <w:i/>
        </w:rPr>
        <w:t>original papers</w:t>
      </w:r>
      <w:r>
        <w:rPr>
          <w:rFonts w:asciiTheme="minorHAnsi" w:hAnsiTheme="minorHAnsi"/>
          <w:i/>
        </w:rPr>
        <w:t xml:space="preserve">. Where relevant you can include </w:t>
      </w:r>
      <w:r w:rsidRPr="00F11B48">
        <w:rPr>
          <w:rFonts w:asciiTheme="minorHAnsi" w:hAnsiTheme="minorHAnsi"/>
          <w:i/>
        </w:rPr>
        <w:t xml:space="preserve">bulletins from health </w:t>
      </w:r>
      <w:r>
        <w:rPr>
          <w:rFonts w:asciiTheme="minorHAnsi" w:hAnsiTheme="minorHAnsi"/>
          <w:i/>
        </w:rPr>
        <w:t xml:space="preserve">organisations </w:t>
      </w:r>
      <w:r w:rsidRPr="00F11B48">
        <w:rPr>
          <w:rFonts w:asciiTheme="minorHAnsi" w:hAnsiTheme="minorHAnsi"/>
          <w:i/>
        </w:rPr>
        <w:t>/</w:t>
      </w:r>
      <w:r>
        <w:rPr>
          <w:rFonts w:asciiTheme="minorHAnsi" w:hAnsiTheme="minorHAnsi"/>
          <w:i/>
        </w:rPr>
        <w:t xml:space="preserve"> </w:t>
      </w:r>
      <w:r w:rsidRPr="00F11B48">
        <w:rPr>
          <w:rFonts w:asciiTheme="minorHAnsi" w:hAnsiTheme="minorHAnsi"/>
          <w:i/>
        </w:rPr>
        <w:t xml:space="preserve">trusts. </w:t>
      </w: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as required for the number of references required)</w:t>
      </w:r>
      <w:r>
        <w:rPr>
          <w:rFonts w:asciiTheme="minorHAnsi" w:hAnsiTheme="minorHAnsi"/>
          <w:i/>
        </w:rPr>
        <w:t>.</w:t>
      </w:r>
    </w:p>
    <w:p w14:paraId="0B89585E" w14:textId="778AB4C4" w:rsidR="006330AA" w:rsidRDefault="006330AA" w:rsidP="006330AA">
      <w:pPr>
        <w:rPr>
          <w:rFonts w:asciiTheme="minorHAnsi" w:hAnsiTheme="minorHAnsi"/>
        </w:rPr>
      </w:pPr>
    </w:p>
    <w:p w14:paraId="51FBE363" w14:textId="2B9DE69C" w:rsidR="00EB5433" w:rsidRDefault="00EB5433" w:rsidP="00EB5433">
      <w:pPr>
        <w:rPr>
          <w:rFonts w:asciiTheme="minorHAnsi" w:hAnsiTheme="minorHAnsi"/>
          <w:u w:val="single"/>
        </w:rPr>
      </w:pPr>
      <w:r w:rsidRPr="00BE1E97">
        <w:rPr>
          <w:rFonts w:asciiTheme="minorHAnsi" w:hAnsiTheme="minorHAnsi"/>
          <w:u w:val="single"/>
        </w:rPr>
        <w:t>Reference:</w:t>
      </w:r>
    </w:p>
    <w:p w14:paraId="63A4C0A4" w14:textId="427F48D7" w:rsidR="00BE1E97" w:rsidRDefault="00BE1E97" w:rsidP="00EB5433">
      <w:pPr>
        <w:rPr>
          <w:rFonts w:asciiTheme="minorHAnsi" w:hAnsiTheme="minorHAnsi"/>
          <w:u w:val="single"/>
        </w:rPr>
      </w:pPr>
    </w:p>
    <w:p w14:paraId="287060E7" w14:textId="5367203A" w:rsidR="00BE1E97" w:rsidRPr="00BA4CB7" w:rsidRDefault="00BE1E97" w:rsidP="00BE1E97">
      <w:pPr>
        <w:rPr>
          <w:rFonts w:asciiTheme="minorHAnsi" w:hAnsiTheme="minorHAnsi" w:cs="Calibri"/>
        </w:rPr>
      </w:pPr>
      <w:r w:rsidRPr="00BA4CB7">
        <w:rPr>
          <w:rFonts w:asciiTheme="minorHAnsi" w:hAnsiTheme="minorHAnsi" w:cs="Calibri"/>
        </w:rPr>
        <w:t xml:space="preserve">National Cancer Institute (2010) </w:t>
      </w:r>
      <w:r w:rsidRPr="00BA4CB7">
        <w:rPr>
          <w:rFonts w:asciiTheme="minorHAnsi" w:hAnsiTheme="minorHAnsi" w:cs="Calibri"/>
          <w:i/>
        </w:rPr>
        <w:t xml:space="preserve">Common terminology criteria for adverse events (CTCAE) version 4.0 </w:t>
      </w:r>
      <w:r w:rsidRPr="00BA4CB7">
        <w:rPr>
          <w:rFonts w:asciiTheme="minorHAnsi" w:hAnsiTheme="minorHAnsi" w:cs="Calibri"/>
        </w:rPr>
        <w:t>[online] U.S. Department of Health and Human Sciences.  Available at:</w:t>
      </w:r>
      <w:r>
        <w:rPr>
          <w:rFonts w:asciiTheme="minorHAnsi" w:hAnsiTheme="minorHAnsi" w:cs="Calibri"/>
        </w:rPr>
        <w:t xml:space="preserve"> </w:t>
      </w:r>
      <w:hyperlink r:id="rId12" w:history="1">
        <w:r w:rsidRPr="00BA4CB7">
          <w:rPr>
            <w:rStyle w:val="Hyperlink"/>
            <w:rFonts w:asciiTheme="minorHAnsi" w:hAnsiTheme="minorHAnsi" w:cs="Calibri"/>
          </w:rPr>
          <w:t>http://evs.nci.nih.gov/ftp1/CTCAE/CTCAE_4.03_2010-06-14_QuickReference_8.5x11.pdf</w:t>
        </w:r>
      </w:hyperlink>
      <w:r w:rsidRPr="00BA4CB7">
        <w:rPr>
          <w:rFonts w:asciiTheme="minorHAnsi" w:hAnsiTheme="minorHAnsi" w:cs="Calibri"/>
        </w:rPr>
        <w:t xml:space="preserve"> (accessed 13/02/2016)</w:t>
      </w:r>
    </w:p>
    <w:p w14:paraId="281A4436" w14:textId="77777777" w:rsidR="00BE1E97" w:rsidRDefault="00BE1E97" w:rsidP="00EB5433">
      <w:pPr>
        <w:rPr>
          <w:rFonts w:asciiTheme="minorHAnsi" w:hAnsiTheme="minorHAnsi"/>
          <w:u w:val="single"/>
        </w:rPr>
      </w:pPr>
    </w:p>
    <w:p w14:paraId="474F3351" w14:textId="0045509E" w:rsidR="00EB5433" w:rsidRDefault="00EB5433" w:rsidP="00EB5433">
      <w:pPr>
        <w:rPr>
          <w:rFonts w:asciiTheme="minorHAnsi" w:hAnsiTheme="minorHAnsi"/>
          <w:u w:val="single"/>
        </w:rPr>
      </w:pPr>
      <w:r w:rsidRPr="00BE1E97">
        <w:rPr>
          <w:rFonts w:asciiTheme="minorHAnsi" w:hAnsiTheme="minorHAnsi"/>
          <w:u w:val="single"/>
        </w:rPr>
        <w:t>Brief description and what you have learned:</w:t>
      </w:r>
    </w:p>
    <w:p w14:paraId="7E327FEE" w14:textId="7262D90D" w:rsidR="00BE1E97" w:rsidRDefault="00BE1E97" w:rsidP="00EB5433">
      <w:pPr>
        <w:rPr>
          <w:rFonts w:asciiTheme="minorHAnsi" w:hAnsiTheme="minorHAnsi"/>
          <w:u w:val="single"/>
        </w:rPr>
      </w:pPr>
    </w:p>
    <w:p w14:paraId="225C26BA" w14:textId="77777777" w:rsidR="00BE1E97" w:rsidRPr="00BA4CB7" w:rsidRDefault="00BE1E97" w:rsidP="00BE1E97">
      <w:pPr>
        <w:jc w:val="both"/>
        <w:rPr>
          <w:rFonts w:asciiTheme="minorHAnsi" w:hAnsiTheme="minorHAnsi" w:cs="Calibri"/>
        </w:rPr>
      </w:pPr>
      <w:r w:rsidRPr="00BA4CB7">
        <w:rPr>
          <w:rFonts w:asciiTheme="minorHAnsi" w:hAnsiTheme="minorHAnsi" w:cs="Calibri"/>
        </w:rPr>
        <w:t>Defines adverse events in terms of severity and level of intervention required, as well as impact on activities of daily living.  Necessary to provide standardisation of description of adverse events when considering safety and tolerability of TKIs.</w:t>
      </w:r>
    </w:p>
    <w:p w14:paraId="552DBF3B" w14:textId="570E2FD8" w:rsidR="00BE1E97" w:rsidRDefault="00BE1E97" w:rsidP="00EB5433">
      <w:pPr>
        <w:rPr>
          <w:rFonts w:asciiTheme="minorHAnsi" w:hAnsiTheme="minorHAnsi"/>
          <w:u w:val="single"/>
        </w:rPr>
      </w:pPr>
    </w:p>
    <w:p w14:paraId="49E0D634" w14:textId="5ADABCF8" w:rsidR="00BE1E97" w:rsidRDefault="00BE1E97" w:rsidP="00BE1E97">
      <w:pPr>
        <w:rPr>
          <w:rFonts w:asciiTheme="minorHAnsi" w:hAnsiTheme="minorHAnsi"/>
          <w:u w:val="single"/>
        </w:rPr>
      </w:pPr>
      <w:r w:rsidRPr="00BE1E97">
        <w:rPr>
          <w:rFonts w:asciiTheme="minorHAnsi" w:hAnsiTheme="minorHAnsi"/>
          <w:u w:val="single"/>
        </w:rPr>
        <w:t>Reference:</w:t>
      </w:r>
    </w:p>
    <w:p w14:paraId="149066F0" w14:textId="02C9CDCC" w:rsidR="00BE1E97" w:rsidRDefault="00BE1E97" w:rsidP="00BE1E97">
      <w:pPr>
        <w:rPr>
          <w:rFonts w:asciiTheme="minorHAnsi" w:hAnsiTheme="minorHAnsi"/>
          <w:u w:val="single"/>
        </w:rPr>
      </w:pPr>
    </w:p>
    <w:p w14:paraId="05F2B186" w14:textId="77777777" w:rsidR="00BE1E97" w:rsidRPr="00BA4CB7" w:rsidRDefault="00BE1E97" w:rsidP="00BE1E97">
      <w:pPr>
        <w:rPr>
          <w:rFonts w:asciiTheme="minorHAnsi" w:hAnsiTheme="minorHAnsi" w:cs="Calibri"/>
        </w:rPr>
      </w:pPr>
      <w:r w:rsidRPr="00BA4CB7">
        <w:rPr>
          <w:rFonts w:asciiTheme="minorHAnsi" w:hAnsiTheme="minorHAnsi" w:cs="Calibri"/>
        </w:rPr>
        <w:t xml:space="preserve">HOFFMAN, V.S. et al (2015) The EUTOS population-based registry: incidence and clinical characteristics of 2904 CML patients in 20 European countries.  </w:t>
      </w:r>
      <w:proofErr w:type="spellStart"/>
      <w:r w:rsidRPr="00BA4CB7">
        <w:rPr>
          <w:rFonts w:asciiTheme="minorHAnsi" w:hAnsiTheme="minorHAnsi" w:cs="Calibri"/>
          <w:i/>
        </w:rPr>
        <w:t>Leukemia</w:t>
      </w:r>
      <w:proofErr w:type="spellEnd"/>
      <w:r w:rsidRPr="00BA4CB7">
        <w:rPr>
          <w:rFonts w:asciiTheme="minorHAnsi" w:hAnsiTheme="minorHAnsi" w:cs="Calibri"/>
          <w:i/>
        </w:rPr>
        <w:t xml:space="preserve">, </w:t>
      </w:r>
      <w:r w:rsidRPr="00BA4CB7">
        <w:rPr>
          <w:rFonts w:asciiTheme="minorHAnsi" w:hAnsiTheme="minorHAnsi" w:cs="Calibri"/>
        </w:rPr>
        <w:t>29, pp1336-1343.</w:t>
      </w:r>
    </w:p>
    <w:p w14:paraId="12E8BEF6" w14:textId="77777777" w:rsidR="00BE1E97" w:rsidRDefault="00BE1E97" w:rsidP="00BE1E97">
      <w:pPr>
        <w:rPr>
          <w:rFonts w:asciiTheme="minorHAnsi" w:hAnsiTheme="minorHAnsi"/>
          <w:u w:val="single"/>
        </w:rPr>
      </w:pPr>
    </w:p>
    <w:p w14:paraId="29BD662C" w14:textId="059F8BF4" w:rsidR="00BE1E97" w:rsidRDefault="00BE1E97" w:rsidP="00BE1E97">
      <w:pPr>
        <w:rPr>
          <w:rFonts w:asciiTheme="minorHAnsi" w:hAnsiTheme="minorHAnsi"/>
          <w:u w:val="single"/>
        </w:rPr>
      </w:pPr>
      <w:r w:rsidRPr="00BE1E97">
        <w:rPr>
          <w:rFonts w:asciiTheme="minorHAnsi" w:hAnsiTheme="minorHAnsi"/>
          <w:u w:val="single"/>
        </w:rPr>
        <w:t>Brief description and what you have learned:</w:t>
      </w:r>
    </w:p>
    <w:p w14:paraId="54C8B69A" w14:textId="33121D2B" w:rsidR="00BE1E97" w:rsidRDefault="00BE1E97" w:rsidP="00BE1E97">
      <w:pPr>
        <w:rPr>
          <w:rFonts w:asciiTheme="minorHAnsi" w:hAnsiTheme="minorHAnsi"/>
          <w:u w:val="single"/>
        </w:rPr>
      </w:pPr>
    </w:p>
    <w:p w14:paraId="697A2952" w14:textId="77777777" w:rsidR="00BE1E97" w:rsidRPr="00BA4CB7" w:rsidRDefault="00BE1E97" w:rsidP="00BE1E97">
      <w:pPr>
        <w:jc w:val="both"/>
        <w:rPr>
          <w:rFonts w:asciiTheme="minorHAnsi" w:hAnsiTheme="minorHAnsi" w:cs="Calibri"/>
        </w:rPr>
      </w:pPr>
      <w:r w:rsidRPr="00BA4CB7">
        <w:rPr>
          <w:rFonts w:asciiTheme="minorHAnsi" w:hAnsiTheme="minorHAnsi" w:cs="Calibri"/>
        </w:rPr>
        <w:t xml:space="preserve">This is a non-interventional study taking sample data from the European Registry of CML set up by the European </w:t>
      </w:r>
      <w:proofErr w:type="spellStart"/>
      <w:r w:rsidRPr="00BA4CB7">
        <w:rPr>
          <w:rFonts w:asciiTheme="minorHAnsi" w:hAnsiTheme="minorHAnsi" w:cs="Calibri"/>
        </w:rPr>
        <w:t>LeukemiaNet</w:t>
      </w:r>
      <w:proofErr w:type="spellEnd"/>
      <w:r w:rsidRPr="00BA4CB7">
        <w:rPr>
          <w:rFonts w:asciiTheme="minorHAnsi" w:hAnsiTheme="minorHAnsi" w:cs="Calibri"/>
        </w:rPr>
        <w:t>.</w:t>
      </w:r>
    </w:p>
    <w:p w14:paraId="68358CB5" w14:textId="77777777" w:rsidR="00BE1E97" w:rsidRDefault="00BE1E97" w:rsidP="00BE1E97">
      <w:pPr>
        <w:jc w:val="both"/>
        <w:rPr>
          <w:rFonts w:asciiTheme="minorHAnsi" w:hAnsiTheme="minorHAnsi" w:cs="Calibri"/>
        </w:rPr>
      </w:pPr>
    </w:p>
    <w:p w14:paraId="4C30FA67" w14:textId="291D6843" w:rsidR="00BE1E97" w:rsidRPr="00BA4CB7" w:rsidRDefault="00BE1E97" w:rsidP="00BE1E97">
      <w:pPr>
        <w:jc w:val="both"/>
        <w:rPr>
          <w:rFonts w:asciiTheme="minorHAnsi" w:hAnsiTheme="minorHAnsi" w:cs="Calibri"/>
        </w:rPr>
      </w:pPr>
      <w:r w:rsidRPr="00BA4CB7">
        <w:rPr>
          <w:rFonts w:asciiTheme="minorHAnsi" w:hAnsiTheme="minorHAnsi" w:cs="Calibri"/>
        </w:rPr>
        <w:t xml:space="preserve">Median age was 56 years.  55.5% of patients had co-morbidities, mainly cardiovascular (41.9%).  The estimated number of new cases of CML per year in Europe is about 6370 </w:t>
      </w:r>
      <w:r w:rsidRPr="00BA4CB7">
        <w:rPr>
          <w:rFonts w:asciiTheme="minorHAnsi" w:hAnsiTheme="minorHAnsi" w:cs="Calibri"/>
        </w:rPr>
        <w:lastRenderedPageBreak/>
        <w:t>(raw incidence 0.99 per 100 000/year) of which 95% were in the chronic phase.  The rate of high-risk patients by risk score were 24.7% (</w:t>
      </w:r>
      <w:proofErr w:type="spellStart"/>
      <w:r w:rsidRPr="00BA4CB7">
        <w:rPr>
          <w:rFonts w:asciiTheme="minorHAnsi" w:hAnsiTheme="minorHAnsi" w:cs="Calibri"/>
        </w:rPr>
        <w:t>Sokal</w:t>
      </w:r>
      <w:proofErr w:type="spellEnd"/>
      <w:r w:rsidRPr="00BA4CB7">
        <w:rPr>
          <w:rFonts w:asciiTheme="minorHAnsi" w:hAnsiTheme="minorHAnsi" w:cs="Calibri"/>
        </w:rPr>
        <w:t>) and 11.8% (EUTOS).</w:t>
      </w:r>
      <w:r>
        <w:rPr>
          <w:rFonts w:asciiTheme="minorHAnsi" w:hAnsiTheme="minorHAnsi" w:cs="Calibri"/>
        </w:rPr>
        <w:t xml:space="preserve"> </w:t>
      </w:r>
      <w:r w:rsidRPr="00BA4CB7">
        <w:rPr>
          <w:rFonts w:asciiTheme="minorHAnsi" w:hAnsiTheme="minorHAnsi" w:cs="Calibri"/>
        </w:rPr>
        <w:t>The study compared its results to the baseline characteristics of patients in key trials and demonstrated acceptable similarities.</w:t>
      </w:r>
    </w:p>
    <w:p w14:paraId="30A879CB" w14:textId="77777777" w:rsidR="00BE1E97" w:rsidRDefault="00BE1E97" w:rsidP="00BE1E97">
      <w:pPr>
        <w:jc w:val="both"/>
        <w:rPr>
          <w:rFonts w:asciiTheme="minorHAnsi" w:hAnsiTheme="minorHAnsi" w:cs="Calibri"/>
        </w:rPr>
      </w:pPr>
    </w:p>
    <w:p w14:paraId="07C79416" w14:textId="0E88C98A" w:rsidR="00BE1E97" w:rsidRDefault="00BE1E97" w:rsidP="00BE1E97">
      <w:pPr>
        <w:jc w:val="both"/>
        <w:rPr>
          <w:rFonts w:asciiTheme="minorHAnsi" w:hAnsiTheme="minorHAnsi" w:cs="Calibri"/>
        </w:rPr>
      </w:pPr>
      <w:r w:rsidRPr="00BA4CB7">
        <w:rPr>
          <w:rFonts w:asciiTheme="minorHAnsi" w:hAnsiTheme="minorHAnsi" w:cs="Calibri"/>
        </w:rPr>
        <w:t xml:space="preserve">The prevalence of CML is not well known but is estimated to be 10-12 per 100 000 </w:t>
      </w:r>
    </w:p>
    <w:p w14:paraId="0E031C62" w14:textId="4A551F3C" w:rsidR="00BE1E97" w:rsidRPr="00BA4CB7" w:rsidRDefault="00BE1E97" w:rsidP="00BE1E97">
      <w:pPr>
        <w:jc w:val="both"/>
        <w:rPr>
          <w:rFonts w:asciiTheme="minorHAnsi" w:hAnsiTheme="minorHAnsi" w:cs="Calibri"/>
        </w:rPr>
      </w:pPr>
      <w:r w:rsidRPr="00BA4CB7">
        <w:rPr>
          <w:rFonts w:asciiTheme="minorHAnsi" w:hAnsiTheme="minorHAnsi" w:cs="Calibri"/>
        </w:rPr>
        <w:t>population. This fits with local figures as KGH serves a population of around 300K and has 35 current patients receiving TKIs for CML.  The incidence for KGH would be expected to be 3 new patients each year.</w:t>
      </w:r>
    </w:p>
    <w:p w14:paraId="58F5D1B0" w14:textId="77777777" w:rsidR="00BE1E97" w:rsidRDefault="00BE1E97" w:rsidP="00BE1E97">
      <w:pPr>
        <w:rPr>
          <w:rFonts w:asciiTheme="minorHAnsi" w:hAnsiTheme="minorHAnsi"/>
          <w:u w:val="single"/>
        </w:rPr>
      </w:pPr>
    </w:p>
    <w:p w14:paraId="02AA7104" w14:textId="594B0B46" w:rsidR="00BE1E97" w:rsidRDefault="00BE1E97" w:rsidP="00BE1E97">
      <w:pPr>
        <w:rPr>
          <w:rFonts w:asciiTheme="minorHAnsi" w:hAnsiTheme="minorHAnsi"/>
          <w:u w:val="single"/>
        </w:rPr>
      </w:pPr>
      <w:r w:rsidRPr="00BE1E97">
        <w:rPr>
          <w:rFonts w:asciiTheme="minorHAnsi" w:hAnsiTheme="minorHAnsi"/>
          <w:u w:val="single"/>
        </w:rPr>
        <w:t>Reference:</w:t>
      </w:r>
    </w:p>
    <w:p w14:paraId="2EFC5EF6" w14:textId="22D3D7BD" w:rsidR="00BE1E97" w:rsidRDefault="00BE1E97" w:rsidP="00BE1E97">
      <w:pPr>
        <w:rPr>
          <w:rFonts w:asciiTheme="minorHAnsi" w:hAnsiTheme="minorHAnsi"/>
          <w:u w:val="single"/>
        </w:rPr>
      </w:pPr>
    </w:p>
    <w:p w14:paraId="3408355E" w14:textId="39F42A78" w:rsidR="00BE1E97" w:rsidRDefault="00BE1E97" w:rsidP="00BE1E97">
      <w:pPr>
        <w:rPr>
          <w:rFonts w:asciiTheme="minorHAnsi" w:hAnsiTheme="minorHAnsi"/>
          <w:u w:val="single"/>
        </w:rPr>
      </w:pPr>
      <w:r w:rsidRPr="00BA4CB7">
        <w:rPr>
          <w:rFonts w:asciiTheme="minorHAnsi" w:hAnsiTheme="minorHAnsi"/>
        </w:rPr>
        <w:t xml:space="preserve">RODRIGO, G.J., NANNINI, L.J. and RODRÍGUEZ-ROISIN, R., 2008. Safety of long-acting beta-agonists in stable COPD: a systematic review. </w:t>
      </w:r>
      <w:r w:rsidRPr="00BA4CB7">
        <w:rPr>
          <w:rFonts w:asciiTheme="minorHAnsi" w:hAnsiTheme="minorHAnsi"/>
          <w:i/>
          <w:iCs/>
        </w:rPr>
        <w:t xml:space="preserve">Chest, </w:t>
      </w:r>
      <w:r w:rsidRPr="00BA4CB7">
        <w:rPr>
          <w:rFonts w:asciiTheme="minorHAnsi" w:hAnsiTheme="minorHAnsi"/>
          <w:b/>
          <w:bCs/>
        </w:rPr>
        <w:t>133</w:t>
      </w:r>
      <w:r w:rsidRPr="00BA4CB7">
        <w:rPr>
          <w:rFonts w:asciiTheme="minorHAnsi" w:hAnsiTheme="minorHAnsi"/>
        </w:rPr>
        <w:t>(5), pp. 1079-1087.</w:t>
      </w:r>
    </w:p>
    <w:p w14:paraId="5FBE62B2" w14:textId="77777777" w:rsidR="00BE1E97" w:rsidRPr="00BE1E97" w:rsidRDefault="00BE1E97" w:rsidP="00BE1E97">
      <w:pPr>
        <w:rPr>
          <w:rFonts w:asciiTheme="minorHAnsi" w:hAnsiTheme="minorHAnsi"/>
          <w:u w:val="single"/>
        </w:rPr>
      </w:pPr>
    </w:p>
    <w:p w14:paraId="25DD2202" w14:textId="77777777" w:rsidR="00BE1E97" w:rsidRDefault="00BE1E97" w:rsidP="00BE1E97">
      <w:pPr>
        <w:rPr>
          <w:rFonts w:asciiTheme="minorHAnsi" w:hAnsiTheme="minorHAnsi"/>
          <w:u w:val="single"/>
        </w:rPr>
      </w:pPr>
      <w:r w:rsidRPr="00BE1E97">
        <w:rPr>
          <w:rFonts w:asciiTheme="minorHAnsi" w:hAnsiTheme="minorHAnsi"/>
          <w:u w:val="single"/>
        </w:rPr>
        <w:t>Brief description and what you have learned:</w:t>
      </w:r>
    </w:p>
    <w:p w14:paraId="1F45C0A3" w14:textId="62055C15" w:rsidR="00EB5433" w:rsidRPr="00F11B48" w:rsidRDefault="00EB5433" w:rsidP="00BE1E97">
      <w:pPr>
        <w:tabs>
          <w:tab w:val="left" w:pos="1122"/>
        </w:tabs>
        <w:rPr>
          <w:rFonts w:asciiTheme="minorHAnsi" w:hAnsiTheme="minorHAnsi"/>
        </w:rPr>
      </w:pPr>
    </w:p>
    <w:p w14:paraId="5BCF96E6" w14:textId="77777777" w:rsidR="00BE1E97" w:rsidRPr="00BA4CB7" w:rsidRDefault="00BE1E97" w:rsidP="00BE1E97">
      <w:pPr>
        <w:rPr>
          <w:rFonts w:asciiTheme="minorHAnsi" w:hAnsiTheme="minorHAnsi" w:cs="Calibri"/>
        </w:rPr>
      </w:pPr>
      <w:r w:rsidRPr="00BA4CB7">
        <w:rPr>
          <w:rFonts w:asciiTheme="minorHAnsi" w:hAnsiTheme="minorHAnsi" w:cs="Calibri"/>
        </w:rPr>
        <w:t xml:space="preserve">A systematic review already referenced in Section 2.  I will specifically describe here the adverse effects described in the paper. The review found that there was no significant difference in respiratory deaths between LABAs and placebo. </w:t>
      </w:r>
    </w:p>
    <w:p w14:paraId="359CAC08" w14:textId="56808E84" w:rsidR="00BE1E97" w:rsidRDefault="00BE1E97" w:rsidP="006330AA">
      <w:pPr>
        <w:rPr>
          <w:rFonts w:asciiTheme="minorHAnsi" w:hAnsiTheme="minorHAnsi"/>
        </w:rPr>
      </w:pPr>
    </w:p>
    <w:p w14:paraId="1CE82F1A" w14:textId="1263C76C" w:rsidR="00BE1E97" w:rsidRDefault="00BE1E97" w:rsidP="006330AA">
      <w:pPr>
        <w:rPr>
          <w:rFonts w:asciiTheme="minorHAnsi" w:hAnsiTheme="minorHAnsi"/>
        </w:rPr>
      </w:pPr>
    </w:p>
    <w:p w14:paraId="640289E1" w14:textId="33290ECD" w:rsidR="006330AA" w:rsidRPr="003B2381" w:rsidRDefault="00EB5433" w:rsidP="006330AA">
      <w:pPr>
        <w:rPr>
          <w:rFonts w:asciiTheme="minorHAnsi" w:hAnsiTheme="minorHAnsi"/>
          <w:b/>
        </w:rPr>
      </w:pPr>
      <w:r>
        <w:rPr>
          <w:rFonts w:asciiTheme="minorHAnsi" w:hAnsiTheme="minorHAnsi"/>
          <w:b/>
        </w:rPr>
        <w:t>Section</w:t>
      </w:r>
      <w:r w:rsidR="003B2381" w:rsidRPr="003B2381">
        <w:rPr>
          <w:rFonts w:asciiTheme="minorHAnsi" w:hAnsiTheme="minorHAnsi"/>
          <w:b/>
        </w:rPr>
        <w:t xml:space="preserve"> 3b</w:t>
      </w:r>
      <w:r w:rsidR="003B2381">
        <w:rPr>
          <w:rFonts w:asciiTheme="minorHAnsi" w:hAnsiTheme="minorHAnsi"/>
          <w:b/>
        </w:rPr>
        <w:t xml:space="preserve">: </w:t>
      </w:r>
      <w:r w:rsidR="003B2381" w:rsidRPr="001B150E">
        <w:rPr>
          <w:rFonts w:asciiTheme="minorHAnsi" w:hAnsiTheme="minorHAnsi"/>
          <w:b/>
        </w:rPr>
        <w:t>Summary</w:t>
      </w:r>
      <w:r w:rsidR="003B2381">
        <w:rPr>
          <w:rFonts w:asciiTheme="minorHAnsi" w:hAnsiTheme="minorHAnsi"/>
          <w:b/>
        </w:rPr>
        <w:t xml:space="preserve"> notes on drugs that you will prescribe</w:t>
      </w:r>
    </w:p>
    <w:p w14:paraId="5070773F" w14:textId="77777777" w:rsidR="006330AA" w:rsidRPr="00F11B48" w:rsidRDefault="006330AA" w:rsidP="006330AA">
      <w:pPr>
        <w:rPr>
          <w:rFonts w:asciiTheme="minorHAnsi" w:hAnsiTheme="minorHAnsi"/>
        </w:rPr>
      </w:pPr>
    </w:p>
    <w:p w14:paraId="3A29B347" w14:textId="2724D4DE" w:rsidR="00EB5433" w:rsidRPr="00957FC0" w:rsidRDefault="00D7627A" w:rsidP="00EB5433">
      <w:pPr>
        <w:rPr>
          <w:rFonts w:asciiTheme="minorHAnsi" w:hAnsiTheme="minorHAnsi"/>
          <w:i/>
        </w:rPr>
      </w:pPr>
      <w:r>
        <w:rPr>
          <w:rFonts w:asciiTheme="minorHAnsi" w:hAnsiTheme="minorHAnsi"/>
          <w:i/>
        </w:rPr>
        <w:t>S</w:t>
      </w:r>
      <w:r w:rsidR="003B2381" w:rsidRPr="00F11B48">
        <w:rPr>
          <w:rFonts w:asciiTheme="minorHAnsi" w:hAnsiTheme="minorHAnsi"/>
          <w:i/>
        </w:rPr>
        <w:t xml:space="preserve">ummarise </w:t>
      </w:r>
      <w:r w:rsidR="003B2381">
        <w:rPr>
          <w:rFonts w:asciiTheme="minorHAnsi" w:hAnsiTheme="minorHAnsi"/>
          <w:i/>
        </w:rPr>
        <w:t xml:space="preserve">information relating to </w:t>
      </w:r>
      <w:r w:rsidR="003B2381" w:rsidRPr="00F11B48">
        <w:rPr>
          <w:rFonts w:asciiTheme="minorHAnsi" w:hAnsiTheme="minorHAnsi"/>
          <w:i/>
        </w:rPr>
        <w:t>the drugs that you will prescribe</w:t>
      </w:r>
      <w:r w:rsidR="00EB5433">
        <w:rPr>
          <w:rFonts w:asciiTheme="minorHAnsi" w:hAnsiTheme="minorHAnsi"/>
          <w:i/>
        </w:rPr>
        <w:t xml:space="preserve">. </w:t>
      </w:r>
      <w:r w:rsidR="00EB5433" w:rsidRPr="00957FC0">
        <w:rPr>
          <w:rFonts w:asciiTheme="minorHAnsi" w:hAnsiTheme="minorHAnsi"/>
          <w:i/>
        </w:rPr>
        <w:t>(</w:t>
      </w:r>
      <w:bookmarkStart w:id="1" w:name="_Hlk18402673"/>
      <w:r w:rsidR="00EB5433" w:rsidRPr="00957FC0">
        <w:rPr>
          <w:rFonts w:asciiTheme="minorHAnsi" w:hAnsiTheme="minorHAnsi"/>
          <w:i/>
        </w:rPr>
        <w:t xml:space="preserve">Please extend this </w:t>
      </w:r>
      <w:r w:rsidR="00EB5433">
        <w:rPr>
          <w:rFonts w:asciiTheme="minorHAnsi" w:hAnsiTheme="minorHAnsi"/>
          <w:i/>
        </w:rPr>
        <w:t>list</w:t>
      </w:r>
      <w:r w:rsidR="00EB5433" w:rsidRPr="00957FC0">
        <w:rPr>
          <w:rFonts w:asciiTheme="minorHAnsi" w:hAnsiTheme="minorHAnsi"/>
          <w:i/>
        </w:rPr>
        <w:t xml:space="preserve"> </w:t>
      </w:r>
      <w:r w:rsidR="00EB5433">
        <w:rPr>
          <w:rFonts w:asciiTheme="minorHAnsi" w:hAnsiTheme="minorHAnsi"/>
          <w:i/>
        </w:rPr>
        <w:t xml:space="preserve">to cover all the relevant groups of drugs and drugs in your </w:t>
      </w:r>
      <w:bookmarkEnd w:id="1"/>
      <w:r w:rsidR="008A343C">
        <w:rPr>
          <w:rFonts w:asciiTheme="minorHAnsi" w:hAnsiTheme="minorHAnsi"/>
          <w:i/>
        </w:rPr>
        <w:t>scope</w:t>
      </w:r>
      <w:r w:rsidR="00EB5433" w:rsidRPr="00957FC0">
        <w:rPr>
          <w:rFonts w:asciiTheme="minorHAnsi" w:hAnsiTheme="minorHAnsi"/>
          <w:i/>
        </w:rPr>
        <w:t>)</w:t>
      </w:r>
      <w:r w:rsidR="008A343C">
        <w:rPr>
          <w:rFonts w:asciiTheme="minorHAnsi" w:hAnsiTheme="minorHAnsi"/>
          <w:i/>
        </w:rPr>
        <w:t>.</w:t>
      </w:r>
    </w:p>
    <w:p w14:paraId="1F1D57C4" w14:textId="31B6500C" w:rsidR="003B2381" w:rsidRPr="00F11B48" w:rsidRDefault="003B2381" w:rsidP="003B2381">
      <w:pPr>
        <w:rPr>
          <w:rFonts w:asciiTheme="minorHAnsi" w:hAnsiTheme="minorHAnsi"/>
          <w:i/>
        </w:rPr>
      </w:pPr>
    </w:p>
    <w:p w14:paraId="587D1ABE" w14:textId="6A7AC88B" w:rsidR="00EB5433" w:rsidRDefault="00EB5433" w:rsidP="00EB5433">
      <w:pPr>
        <w:rPr>
          <w:rFonts w:asciiTheme="minorHAnsi" w:hAnsiTheme="minorHAnsi"/>
          <w:u w:val="single"/>
        </w:rPr>
      </w:pPr>
      <w:r w:rsidRPr="005F4E22">
        <w:rPr>
          <w:rFonts w:asciiTheme="minorHAnsi" w:hAnsiTheme="minorHAnsi"/>
          <w:u w:val="single"/>
        </w:rPr>
        <w:t>Drug group and individual agents:</w:t>
      </w:r>
    </w:p>
    <w:p w14:paraId="036C5F08" w14:textId="6F8663E9" w:rsidR="005F4E22" w:rsidRDefault="005F4E22" w:rsidP="00EB5433">
      <w:pPr>
        <w:rPr>
          <w:rFonts w:asciiTheme="minorHAnsi" w:hAnsiTheme="minorHAnsi"/>
          <w:u w:val="single"/>
        </w:rPr>
      </w:pPr>
    </w:p>
    <w:p w14:paraId="11B3CFB8" w14:textId="29420C2A" w:rsidR="005F4E22" w:rsidRPr="005F4E22" w:rsidRDefault="005F4E22" w:rsidP="00EB5433">
      <w:pPr>
        <w:rPr>
          <w:rFonts w:asciiTheme="minorHAnsi" w:hAnsiTheme="minorHAnsi"/>
        </w:rPr>
      </w:pPr>
      <w:r>
        <w:rPr>
          <w:rFonts w:asciiTheme="minorHAnsi" w:hAnsiTheme="minorHAnsi"/>
        </w:rPr>
        <w:t>SABA</w:t>
      </w:r>
    </w:p>
    <w:p w14:paraId="6AFBEAB6" w14:textId="77777777" w:rsidR="00EB5433" w:rsidRPr="005F4E22" w:rsidRDefault="00EB5433" w:rsidP="00EB5433">
      <w:pPr>
        <w:rPr>
          <w:rFonts w:asciiTheme="minorHAnsi" w:hAnsiTheme="minorHAnsi"/>
          <w:b/>
          <w:u w:val="single"/>
        </w:rPr>
      </w:pPr>
    </w:p>
    <w:p w14:paraId="57974628" w14:textId="609157EA" w:rsidR="00EB5433" w:rsidRDefault="00EB5433" w:rsidP="00EB5433">
      <w:pPr>
        <w:rPr>
          <w:rFonts w:asciiTheme="minorHAnsi" w:hAnsiTheme="minorHAnsi"/>
          <w:u w:val="single"/>
        </w:rPr>
      </w:pPr>
      <w:r w:rsidRPr="005F4E22">
        <w:rPr>
          <w:rFonts w:asciiTheme="minorHAnsi" w:hAnsiTheme="minorHAnsi"/>
          <w:u w:val="single"/>
        </w:rPr>
        <w:t>Notes on public health issues and patterns of local use:</w:t>
      </w:r>
    </w:p>
    <w:p w14:paraId="42E68626" w14:textId="20B526FD" w:rsidR="005F4E22" w:rsidRDefault="005F4E22" w:rsidP="00EB5433">
      <w:pPr>
        <w:rPr>
          <w:rFonts w:asciiTheme="minorHAnsi" w:hAnsiTheme="minorHAnsi"/>
          <w:u w:val="single"/>
        </w:rPr>
      </w:pPr>
    </w:p>
    <w:p w14:paraId="60A580D0" w14:textId="484BA1A6" w:rsidR="005F4E22" w:rsidRPr="005F4E22" w:rsidRDefault="005F4E22" w:rsidP="00EB5433">
      <w:pPr>
        <w:rPr>
          <w:rFonts w:asciiTheme="minorHAnsi" w:hAnsiTheme="minorHAnsi"/>
        </w:rPr>
      </w:pPr>
      <w:r w:rsidRPr="00BA4CB7">
        <w:rPr>
          <w:rFonts w:asciiTheme="minorHAnsi" w:hAnsiTheme="minorHAnsi" w:cs="Calibri"/>
        </w:rPr>
        <w:t>SABA (e.g. salbutamol) use is high. This is due to several factors including high pollen rates (rapeseed fields), industrial pollution and large low-lying expanses across the region.</w:t>
      </w:r>
    </w:p>
    <w:p w14:paraId="2A139E9E" w14:textId="5682720D" w:rsidR="00EB5433" w:rsidRPr="005F4E22" w:rsidRDefault="00EB5433" w:rsidP="00EB5433">
      <w:pPr>
        <w:rPr>
          <w:rFonts w:asciiTheme="minorHAnsi" w:hAnsiTheme="minorHAnsi"/>
          <w:u w:val="single"/>
        </w:rPr>
      </w:pPr>
    </w:p>
    <w:p w14:paraId="655E4DF0" w14:textId="3BC1DCC7" w:rsidR="00EB5433" w:rsidRPr="005F4E22" w:rsidRDefault="00EB5433" w:rsidP="00EB5433">
      <w:pPr>
        <w:rPr>
          <w:rFonts w:asciiTheme="minorHAnsi" w:hAnsiTheme="minorHAnsi"/>
          <w:u w:val="single"/>
        </w:rPr>
      </w:pPr>
      <w:r w:rsidRPr="005F4E22">
        <w:rPr>
          <w:rFonts w:asciiTheme="minorHAnsi" w:hAnsiTheme="minorHAnsi"/>
          <w:u w:val="single"/>
        </w:rPr>
        <w:t>Notes on adverse drug reactions (specify type A or B):</w:t>
      </w:r>
    </w:p>
    <w:p w14:paraId="492A6914" w14:textId="77777777" w:rsidR="00EB5433" w:rsidRPr="00EB5433" w:rsidRDefault="00EB5433" w:rsidP="00EB5433">
      <w:pPr>
        <w:rPr>
          <w:rFonts w:asciiTheme="minorHAnsi" w:hAnsiTheme="minorHAnsi"/>
        </w:rPr>
      </w:pPr>
    </w:p>
    <w:p w14:paraId="6A666878" w14:textId="53E5D2E6" w:rsidR="00EB5433" w:rsidRDefault="005F4E22" w:rsidP="00EB5433">
      <w:pPr>
        <w:rPr>
          <w:rFonts w:asciiTheme="minorHAnsi" w:hAnsiTheme="minorHAnsi" w:cs="Calibri"/>
        </w:rPr>
      </w:pPr>
      <w:r w:rsidRPr="00BA4CB7">
        <w:rPr>
          <w:rFonts w:asciiTheme="minorHAnsi" w:hAnsiTheme="minorHAnsi" w:cs="Calibri"/>
        </w:rPr>
        <w:t>This stimulates the beta adrenoceptors and stimulates sympathomimetic responses. Therefore, side effects can include shaking and nervous feelings, especially if higher doses are used. This is a Type A ADR.</w:t>
      </w:r>
    </w:p>
    <w:p w14:paraId="32D8A117" w14:textId="3BA8B989" w:rsidR="005F4E22" w:rsidRDefault="005F4E22" w:rsidP="00EB5433">
      <w:pPr>
        <w:rPr>
          <w:rFonts w:asciiTheme="minorHAnsi" w:hAnsiTheme="minorHAnsi" w:cs="Calibri"/>
        </w:rPr>
      </w:pPr>
    </w:p>
    <w:p w14:paraId="52E28FDD" w14:textId="58B5FBFB" w:rsidR="005F4E22" w:rsidRDefault="005F4E22" w:rsidP="00EB5433">
      <w:pPr>
        <w:rPr>
          <w:rFonts w:asciiTheme="minorHAnsi" w:hAnsiTheme="minorHAnsi" w:cs="Calibri"/>
        </w:rPr>
      </w:pPr>
    </w:p>
    <w:p w14:paraId="5890BF33" w14:textId="4403DA66" w:rsidR="005F4E22" w:rsidRDefault="005F4E22" w:rsidP="00EB5433">
      <w:pPr>
        <w:rPr>
          <w:rFonts w:asciiTheme="minorHAnsi" w:hAnsiTheme="minorHAnsi" w:cs="Calibri"/>
        </w:rPr>
      </w:pPr>
    </w:p>
    <w:p w14:paraId="62DE50D9" w14:textId="77777777" w:rsidR="005F4E22" w:rsidRDefault="005F4E22" w:rsidP="00EB5433">
      <w:pPr>
        <w:rPr>
          <w:rFonts w:asciiTheme="minorHAnsi" w:hAnsiTheme="minorHAnsi"/>
        </w:rPr>
      </w:pPr>
    </w:p>
    <w:p w14:paraId="5F56C099" w14:textId="797DE11F" w:rsidR="005F4E22" w:rsidRDefault="005F4E22" w:rsidP="005F4E22">
      <w:pPr>
        <w:rPr>
          <w:rFonts w:asciiTheme="minorHAnsi" w:hAnsiTheme="minorHAnsi"/>
          <w:u w:val="single"/>
        </w:rPr>
      </w:pPr>
      <w:r w:rsidRPr="005F4E22">
        <w:rPr>
          <w:rFonts w:asciiTheme="minorHAnsi" w:hAnsiTheme="minorHAnsi"/>
          <w:u w:val="single"/>
        </w:rPr>
        <w:t>Drug group and individual agents:</w:t>
      </w:r>
    </w:p>
    <w:p w14:paraId="6D3252BA" w14:textId="3E9C9C23" w:rsidR="005F4E22" w:rsidRDefault="005F4E22" w:rsidP="005F4E22">
      <w:pPr>
        <w:rPr>
          <w:rFonts w:asciiTheme="minorHAnsi" w:hAnsiTheme="minorHAnsi"/>
          <w:u w:val="single"/>
        </w:rPr>
      </w:pPr>
    </w:p>
    <w:p w14:paraId="191EBA37" w14:textId="4ADA9F1B" w:rsidR="005F4E22" w:rsidRPr="005F4E22" w:rsidRDefault="005F4E22" w:rsidP="005F4E22">
      <w:pPr>
        <w:rPr>
          <w:rFonts w:asciiTheme="minorHAnsi" w:hAnsiTheme="minorHAnsi"/>
          <w:u w:val="single"/>
        </w:rPr>
      </w:pPr>
      <w:r w:rsidRPr="00BA4CB7">
        <w:rPr>
          <w:rFonts w:asciiTheme="minorHAnsi" w:hAnsiTheme="minorHAnsi" w:cs="Calibri"/>
        </w:rPr>
        <w:t>Imatinib</w:t>
      </w:r>
    </w:p>
    <w:p w14:paraId="1E27901D" w14:textId="77777777" w:rsidR="005F4E22" w:rsidRPr="005F4E22" w:rsidRDefault="005F4E22" w:rsidP="005F4E22">
      <w:pPr>
        <w:rPr>
          <w:rFonts w:asciiTheme="minorHAnsi" w:hAnsiTheme="minorHAnsi"/>
          <w:b/>
          <w:u w:val="single"/>
        </w:rPr>
      </w:pPr>
    </w:p>
    <w:p w14:paraId="6ED07CE7" w14:textId="1993CFB5" w:rsidR="005F4E22" w:rsidRDefault="005F4E22" w:rsidP="005F4E22">
      <w:pPr>
        <w:rPr>
          <w:rFonts w:asciiTheme="minorHAnsi" w:hAnsiTheme="minorHAnsi"/>
          <w:u w:val="single"/>
        </w:rPr>
      </w:pPr>
      <w:r w:rsidRPr="005F4E22">
        <w:rPr>
          <w:rFonts w:asciiTheme="minorHAnsi" w:hAnsiTheme="minorHAnsi"/>
          <w:u w:val="single"/>
        </w:rPr>
        <w:t>Notes on public health issues and patterns of local use:</w:t>
      </w:r>
    </w:p>
    <w:p w14:paraId="56942360" w14:textId="0C1E04CD" w:rsidR="005F4E22" w:rsidRDefault="005F4E22" w:rsidP="005F4E22">
      <w:pPr>
        <w:rPr>
          <w:rFonts w:asciiTheme="minorHAnsi" w:hAnsiTheme="minorHAnsi"/>
          <w:u w:val="single"/>
        </w:rPr>
      </w:pPr>
    </w:p>
    <w:p w14:paraId="76AAE7AA" w14:textId="158651A2" w:rsidR="005F4E22" w:rsidRPr="005F4E22" w:rsidRDefault="005F4E22" w:rsidP="005F4E22">
      <w:pPr>
        <w:rPr>
          <w:rFonts w:asciiTheme="minorHAnsi" w:hAnsiTheme="minorHAnsi"/>
          <w:u w:val="single"/>
        </w:rPr>
      </w:pPr>
      <w:r w:rsidRPr="00BA4CB7">
        <w:rPr>
          <w:rFonts w:asciiTheme="minorHAnsi" w:hAnsiTheme="minorHAnsi" w:cs="Calibri"/>
        </w:rPr>
        <w:t>At KGH 22 out of 35 CML patients are on imatinib (63%).  The proportion on imatinib first or second line is not known.</w:t>
      </w:r>
    </w:p>
    <w:p w14:paraId="4F5497FD" w14:textId="77777777" w:rsidR="005F4E22" w:rsidRPr="005F4E22" w:rsidRDefault="005F4E22" w:rsidP="005F4E22">
      <w:pPr>
        <w:rPr>
          <w:rFonts w:asciiTheme="minorHAnsi" w:hAnsiTheme="minorHAnsi"/>
          <w:u w:val="single"/>
        </w:rPr>
      </w:pPr>
    </w:p>
    <w:p w14:paraId="7B57984D" w14:textId="12DB537A" w:rsidR="005F4E22" w:rsidRDefault="005F4E22" w:rsidP="005F4E22">
      <w:pPr>
        <w:rPr>
          <w:rFonts w:asciiTheme="minorHAnsi" w:hAnsiTheme="minorHAnsi"/>
          <w:u w:val="single"/>
        </w:rPr>
      </w:pPr>
      <w:r w:rsidRPr="005F4E22">
        <w:rPr>
          <w:rFonts w:asciiTheme="minorHAnsi" w:hAnsiTheme="minorHAnsi"/>
          <w:u w:val="single"/>
        </w:rPr>
        <w:t>Notes on adverse drug reactions (specify type A or B):</w:t>
      </w:r>
    </w:p>
    <w:p w14:paraId="031E347C" w14:textId="38D01F43" w:rsidR="005F4E22" w:rsidRDefault="005F4E22" w:rsidP="005F4E22">
      <w:pPr>
        <w:rPr>
          <w:rFonts w:asciiTheme="minorHAnsi" w:hAnsiTheme="minorHAnsi"/>
          <w:u w:val="single"/>
        </w:rPr>
      </w:pPr>
    </w:p>
    <w:p w14:paraId="39715071" w14:textId="77777777" w:rsidR="005F4E22" w:rsidRPr="00BA4CB7" w:rsidRDefault="005F4E22" w:rsidP="005F4E22">
      <w:pPr>
        <w:rPr>
          <w:rFonts w:asciiTheme="minorHAnsi" w:hAnsiTheme="minorHAnsi" w:cs="Calibri"/>
        </w:rPr>
      </w:pPr>
      <w:r w:rsidRPr="00BA4CB7">
        <w:rPr>
          <w:rFonts w:asciiTheme="minorHAnsi" w:hAnsiTheme="minorHAnsi" w:cs="Calibri"/>
        </w:rPr>
        <w:t>Common side effects:</w:t>
      </w:r>
    </w:p>
    <w:p w14:paraId="4B27CEA0"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Headache</w:t>
      </w:r>
    </w:p>
    <w:p w14:paraId="512EA638"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Nausea – can be reduced by taking with food</w:t>
      </w:r>
    </w:p>
    <w:p w14:paraId="05AB80DF"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Diarrhoea – can be chronic</w:t>
      </w:r>
    </w:p>
    <w:p w14:paraId="1F7BAC47"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 xml:space="preserve">Rash, pruritis – use of moisturisers may help prevention  </w:t>
      </w:r>
    </w:p>
    <w:p w14:paraId="668CDB49"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Muscle cramps and aches</w:t>
      </w:r>
    </w:p>
    <w:p w14:paraId="44C561E7"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Fatigue</w:t>
      </w:r>
    </w:p>
    <w:p w14:paraId="6349A159"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Periorbital oedema</w:t>
      </w:r>
    </w:p>
    <w:p w14:paraId="1ABFC9A5"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Peripheral oedema</w:t>
      </w:r>
    </w:p>
    <w:p w14:paraId="4AA79183" w14:textId="77777777" w:rsidR="005F4E22" w:rsidRPr="00BA4CB7" w:rsidRDefault="005F4E22" w:rsidP="005F4E22">
      <w:pPr>
        <w:pStyle w:val="ListParagraph"/>
        <w:numPr>
          <w:ilvl w:val="0"/>
          <w:numId w:val="17"/>
        </w:numPr>
        <w:rPr>
          <w:rFonts w:asciiTheme="minorHAnsi" w:hAnsiTheme="minorHAnsi" w:cs="Calibri"/>
        </w:rPr>
      </w:pPr>
      <w:r w:rsidRPr="00BA4CB7">
        <w:rPr>
          <w:rFonts w:asciiTheme="minorHAnsi" w:hAnsiTheme="minorHAnsi" w:cs="Calibri"/>
        </w:rPr>
        <w:t>Myelosuppression</w:t>
      </w:r>
    </w:p>
    <w:p w14:paraId="47BD13D7" w14:textId="77777777" w:rsidR="005F4E22" w:rsidRDefault="005F4E22" w:rsidP="005F4E22">
      <w:pPr>
        <w:rPr>
          <w:rFonts w:asciiTheme="minorHAnsi" w:hAnsiTheme="minorHAnsi" w:cs="Calibri"/>
        </w:rPr>
      </w:pPr>
    </w:p>
    <w:p w14:paraId="19862EE0" w14:textId="4BC10A83" w:rsidR="005F4E22" w:rsidRPr="00BA4CB7" w:rsidRDefault="005F4E22" w:rsidP="005F4E22">
      <w:pPr>
        <w:rPr>
          <w:rFonts w:asciiTheme="minorHAnsi" w:hAnsiTheme="minorHAnsi" w:cs="Calibri"/>
        </w:rPr>
      </w:pPr>
      <w:r w:rsidRPr="00BA4CB7">
        <w:rPr>
          <w:rFonts w:asciiTheme="minorHAnsi" w:hAnsiTheme="minorHAnsi" w:cs="Calibri"/>
        </w:rPr>
        <w:t>Imatinib has not been shown to cause significant long-term vascular adverse events and may even have beneficial vascular effects. Imatinib can lower blood glucose, cholesterol and triglycerides.</w:t>
      </w:r>
    </w:p>
    <w:p w14:paraId="234C193F" w14:textId="77777777" w:rsidR="005F4E22" w:rsidRPr="005F4E22" w:rsidRDefault="005F4E22" w:rsidP="005F4E22">
      <w:pPr>
        <w:rPr>
          <w:rFonts w:asciiTheme="minorHAnsi" w:hAnsiTheme="minorHAnsi"/>
          <w:u w:val="single"/>
        </w:rPr>
      </w:pPr>
    </w:p>
    <w:p w14:paraId="29357883" w14:textId="77777777" w:rsidR="006330AA" w:rsidRPr="00F11B48" w:rsidRDefault="006330AA" w:rsidP="006330AA">
      <w:pPr>
        <w:rPr>
          <w:rFonts w:asciiTheme="minorHAnsi" w:hAnsiTheme="minorHAnsi"/>
        </w:rPr>
      </w:pPr>
    </w:p>
    <w:p w14:paraId="11FF93F4" w14:textId="24621FB9" w:rsidR="00B94899" w:rsidRPr="00EB5433" w:rsidRDefault="003B2381" w:rsidP="00EB5433">
      <w:pPr>
        <w:pStyle w:val="ListParagraph"/>
        <w:numPr>
          <w:ilvl w:val="0"/>
          <w:numId w:val="12"/>
        </w:numPr>
        <w:ind w:left="284" w:hanging="284"/>
        <w:rPr>
          <w:rFonts w:asciiTheme="minorHAnsi" w:hAnsiTheme="minorHAnsi"/>
          <w:b/>
        </w:rPr>
      </w:pPr>
      <w:r w:rsidRPr="00EB5433">
        <w:rPr>
          <w:rFonts w:asciiTheme="minorHAnsi" w:hAnsiTheme="minorHAnsi"/>
          <w:b/>
        </w:rPr>
        <w:t>Clinical M</w:t>
      </w:r>
      <w:r w:rsidR="00B94899" w:rsidRPr="00EB5433">
        <w:rPr>
          <w:rFonts w:asciiTheme="minorHAnsi" w:hAnsiTheme="minorHAnsi"/>
          <w:b/>
        </w:rPr>
        <w:t>onitoring</w:t>
      </w:r>
      <w:r w:rsidRPr="00EB5433">
        <w:rPr>
          <w:rFonts w:asciiTheme="minorHAnsi" w:hAnsiTheme="minorHAnsi"/>
          <w:b/>
        </w:rPr>
        <w:t xml:space="preserve"> and Medicines</w:t>
      </w:r>
      <w:r w:rsidR="00907A61" w:rsidRPr="00EB5433">
        <w:rPr>
          <w:rFonts w:asciiTheme="minorHAnsi" w:hAnsiTheme="minorHAnsi"/>
          <w:b/>
        </w:rPr>
        <w:t xml:space="preserve"> Management</w:t>
      </w:r>
    </w:p>
    <w:p w14:paraId="14DBBFCD" w14:textId="52563980" w:rsidR="00B94899" w:rsidRPr="00F11B48" w:rsidRDefault="00B94899" w:rsidP="00B94899">
      <w:pPr>
        <w:rPr>
          <w:rFonts w:asciiTheme="minorHAnsi" w:hAnsiTheme="minorHAnsi"/>
          <w:b/>
        </w:rPr>
      </w:pPr>
    </w:p>
    <w:p w14:paraId="50E8D4F1" w14:textId="6379D58C" w:rsidR="000858B9" w:rsidRPr="00EB5433" w:rsidRDefault="000858B9" w:rsidP="00B94899">
      <w:pPr>
        <w:rPr>
          <w:rFonts w:asciiTheme="minorHAnsi" w:hAnsiTheme="minorHAnsi"/>
          <w:i/>
        </w:rPr>
      </w:pPr>
      <w:r w:rsidRPr="00EB5433">
        <w:rPr>
          <w:rFonts w:asciiTheme="minorHAnsi" w:hAnsiTheme="minorHAnsi"/>
          <w:i/>
        </w:rPr>
        <w:t>Use this section for anything that might be generically termed ‘Patient monitoring’ this would include any reference concerning the clinical monitoring of the patient. Also in this section you can include reference</w:t>
      </w:r>
      <w:r w:rsidR="0011592B" w:rsidRPr="00EB5433">
        <w:rPr>
          <w:rFonts w:asciiTheme="minorHAnsi" w:hAnsiTheme="minorHAnsi"/>
          <w:i/>
        </w:rPr>
        <w:t>s</w:t>
      </w:r>
      <w:r w:rsidRPr="00EB5433">
        <w:rPr>
          <w:rFonts w:asciiTheme="minorHAnsi" w:hAnsiTheme="minorHAnsi"/>
          <w:i/>
        </w:rPr>
        <w:t xml:space="preserve"> </w:t>
      </w:r>
      <w:r w:rsidR="00907A61" w:rsidRPr="00EB5433">
        <w:rPr>
          <w:rFonts w:asciiTheme="minorHAnsi" w:hAnsiTheme="minorHAnsi"/>
          <w:i/>
        </w:rPr>
        <w:t>to any medicines management issues and in particular adherence</w:t>
      </w:r>
      <w:r w:rsidRPr="00EB5433">
        <w:rPr>
          <w:rFonts w:asciiTheme="minorHAnsi" w:hAnsiTheme="minorHAnsi"/>
          <w:i/>
        </w:rPr>
        <w:t>.</w:t>
      </w:r>
    </w:p>
    <w:p w14:paraId="5CCD7D8C" w14:textId="77777777" w:rsidR="000858B9" w:rsidRPr="00F11B48" w:rsidRDefault="000858B9" w:rsidP="00B94899">
      <w:pPr>
        <w:rPr>
          <w:rFonts w:asciiTheme="minorHAnsi" w:hAnsiTheme="minorHAnsi"/>
          <w:b/>
        </w:rPr>
      </w:pPr>
    </w:p>
    <w:p w14:paraId="6ABC1C9D" w14:textId="0A3DB865" w:rsidR="00B94899" w:rsidRPr="003B2381" w:rsidRDefault="00EB5433" w:rsidP="00B94899">
      <w:pPr>
        <w:rPr>
          <w:rFonts w:asciiTheme="minorHAnsi" w:hAnsiTheme="minorHAnsi"/>
          <w:b/>
        </w:rPr>
      </w:pPr>
      <w:r>
        <w:rPr>
          <w:rFonts w:asciiTheme="minorHAnsi" w:hAnsiTheme="minorHAnsi"/>
          <w:b/>
        </w:rPr>
        <w:t>Section</w:t>
      </w:r>
      <w:r w:rsidR="003B2381" w:rsidRPr="003B2381">
        <w:rPr>
          <w:rFonts w:asciiTheme="minorHAnsi" w:hAnsiTheme="minorHAnsi"/>
          <w:b/>
        </w:rPr>
        <w:t xml:space="preserve"> 4a: </w:t>
      </w:r>
      <w:r w:rsidR="00907A61">
        <w:rPr>
          <w:rFonts w:asciiTheme="minorHAnsi" w:hAnsiTheme="minorHAnsi"/>
          <w:b/>
        </w:rPr>
        <w:t>Reference sources</w:t>
      </w:r>
    </w:p>
    <w:p w14:paraId="336D3C0A" w14:textId="77777777" w:rsidR="003B2381" w:rsidRDefault="003B2381" w:rsidP="00F52961">
      <w:pPr>
        <w:rPr>
          <w:rFonts w:asciiTheme="minorHAnsi" w:hAnsiTheme="minorHAnsi"/>
        </w:rPr>
      </w:pPr>
    </w:p>
    <w:p w14:paraId="4307B12C" w14:textId="32E468E0" w:rsidR="00EB5433" w:rsidRPr="00F11B48" w:rsidRDefault="00EB5433" w:rsidP="00EB5433">
      <w:pPr>
        <w:rPr>
          <w:rFonts w:asciiTheme="minorHAnsi" w:hAnsiTheme="minorHAnsi"/>
          <w:i/>
        </w:rPr>
      </w:pPr>
      <w:r>
        <w:rPr>
          <w:rFonts w:asciiTheme="minorHAnsi" w:hAnsiTheme="minorHAnsi"/>
          <w:i/>
        </w:rPr>
        <w:t>Describe below</w:t>
      </w:r>
      <w:r w:rsidR="00B94899" w:rsidRPr="00F11B48">
        <w:rPr>
          <w:rFonts w:asciiTheme="minorHAnsi" w:hAnsiTheme="minorHAnsi"/>
          <w:i/>
        </w:rPr>
        <w:t xml:space="preserve"> a reference list of articles</w:t>
      </w:r>
      <w:r w:rsidR="00F52961" w:rsidRPr="00F11B48">
        <w:rPr>
          <w:rFonts w:asciiTheme="minorHAnsi" w:hAnsiTheme="minorHAnsi"/>
          <w:i/>
        </w:rPr>
        <w:t xml:space="preserve"> of original papers or clinical </w:t>
      </w:r>
      <w:r w:rsidR="002B3070" w:rsidRPr="00F11B48">
        <w:rPr>
          <w:rFonts w:asciiTheme="minorHAnsi" w:hAnsiTheme="minorHAnsi"/>
          <w:i/>
        </w:rPr>
        <w:t>guidelines.</w:t>
      </w:r>
      <w:r w:rsidRPr="00F11B48">
        <w:rPr>
          <w:rFonts w:asciiTheme="minorHAnsi" w:hAnsiTheme="minorHAnsi"/>
          <w:i/>
        </w:rPr>
        <w:t xml:space="preserve"> </w:t>
      </w:r>
      <w:r w:rsidRPr="00957FC0">
        <w:rPr>
          <w:rFonts w:asciiTheme="minorHAnsi" w:hAnsiTheme="minorHAnsi"/>
          <w:i/>
        </w:rPr>
        <w:t xml:space="preserve">(Please extend this </w:t>
      </w:r>
      <w:r>
        <w:rPr>
          <w:rFonts w:asciiTheme="minorHAnsi" w:hAnsiTheme="minorHAnsi"/>
          <w:i/>
        </w:rPr>
        <w:t>list</w:t>
      </w:r>
      <w:r w:rsidRPr="00957FC0">
        <w:rPr>
          <w:rFonts w:asciiTheme="minorHAnsi" w:hAnsiTheme="minorHAnsi"/>
          <w:i/>
        </w:rPr>
        <w:t xml:space="preserve"> as required for the number of references required)</w:t>
      </w:r>
    </w:p>
    <w:p w14:paraId="7638D787" w14:textId="2D527C56" w:rsidR="00B94899" w:rsidRDefault="00B94899" w:rsidP="00F52961">
      <w:pPr>
        <w:rPr>
          <w:rFonts w:asciiTheme="minorHAnsi" w:hAnsiTheme="minorHAnsi"/>
        </w:rPr>
      </w:pPr>
    </w:p>
    <w:p w14:paraId="43822AEA" w14:textId="66488BC5" w:rsidR="00EB5433" w:rsidRDefault="00EB5433" w:rsidP="00EB5433">
      <w:pPr>
        <w:rPr>
          <w:rFonts w:asciiTheme="minorHAnsi" w:hAnsiTheme="minorHAnsi"/>
          <w:u w:val="single"/>
        </w:rPr>
      </w:pPr>
      <w:r w:rsidRPr="005F4E22">
        <w:rPr>
          <w:rFonts w:asciiTheme="minorHAnsi" w:hAnsiTheme="minorHAnsi"/>
          <w:u w:val="single"/>
        </w:rPr>
        <w:t>Reference:</w:t>
      </w:r>
    </w:p>
    <w:p w14:paraId="0826F988" w14:textId="5A3F9EA3" w:rsidR="005F4E22" w:rsidRDefault="005F4E22" w:rsidP="00EB5433">
      <w:pPr>
        <w:rPr>
          <w:rFonts w:asciiTheme="minorHAnsi" w:hAnsiTheme="minorHAnsi"/>
          <w:u w:val="single"/>
        </w:rPr>
      </w:pPr>
    </w:p>
    <w:p w14:paraId="55B5B0F3" w14:textId="36523D09" w:rsidR="005F4E22" w:rsidRPr="005F4E22" w:rsidRDefault="00366432" w:rsidP="00EB5433">
      <w:pPr>
        <w:rPr>
          <w:rFonts w:asciiTheme="minorHAnsi" w:hAnsiTheme="minorHAnsi"/>
          <w:u w:val="single"/>
        </w:rPr>
      </w:pPr>
      <w:hyperlink r:id="rId13" w:history="1">
        <w:r w:rsidR="005F4E22" w:rsidRPr="00BA4CB7">
          <w:rPr>
            <w:rStyle w:val="Hyperlink"/>
            <w:rFonts w:asciiTheme="minorHAnsi" w:hAnsiTheme="minorHAnsi" w:cs="Calibri"/>
          </w:rPr>
          <w:t>www.bloodref.com/myeloid/cml</w:t>
        </w:r>
      </w:hyperlink>
      <w:r w:rsidR="005F4E22" w:rsidRPr="00BA4CB7">
        <w:rPr>
          <w:rFonts w:asciiTheme="minorHAnsi" w:hAnsiTheme="minorHAnsi" w:cs="Calibri"/>
        </w:rPr>
        <w:t xml:space="preserve"> (accessed 06/02/2016)</w:t>
      </w:r>
    </w:p>
    <w:p w14:paraId="65A7D6A8" w14:textId="77777777" w:rsidR="005F4E22" w:rsidRPr="005F4E22" w:rsidRDefault="005F4E22" w:rsidP="00EB5433">
      <w:pPr>
        <w:rPr>
          <w:rFonts w:asciiTheme="minorHAnsi" w:hAnsiTheme="minorHAnsi"/>
          <w:u w:val="single"/>
        </w:rPr>
      </w:pPr>
    </w:p>
    <w:p w14:paraId="73B531B7" w14:textId="72E2CE75" w:rsidR="00EB5433" w:rsidRDefault="00EB5433" w:rsidP="00EB5433">
      <w:pPr>
        <w:rPr>
          <w:rFonts w:asciiTheme="minorHAnsi" w:hAnsiTheme="minorHAnsi"/>
          <w:u w:val="single"/>
        </w:rPr>
      </w:pPr>
      <w:r w:rsidRPr="005F4E22">
        <w:rPr>
          <w:rFonts w:asciiTheme="minorHAnsi" w:hAnsiTheme="minorHAnsi"/>
          <w:u w:val="single"/>
        </w:rPr>
        <w:t>Brief description and what you have learned:</w:t>
      </w:r>
    </w:p>
    <w:p w14:paraId="02176022" w14:textId="6D9E882E" w:rsidR="005F4E22" w:rsidRDefault="005F4E22" w:rsidP="00EB5433">
      <w:pPr>
        <w:rPr>
          <w:rFonts w:asciiTheme="minorHAnsi" w:hAnsiTheme="minorHAnsi"/>
          <w:u w:val="single"/>
        </w:rPr>
      </w:pPr>
    </w:p>
    <w:p w14:paraId="03ED0A1B" w14:textId="77777777" w:rsidR="005F4E22" w:rsidRPr="00BA4CB7" w:rsidRDefault="005F4E22" w:rsidP="005F4E22">
      <w:pPr>
        <w:jc w:val="both"/>
        <w:rPr>
          <w:rFonts w:asciiTheme="minorHAnsi" w:hAnsiTheme="minorHAnsi" w:cs="Calibri"/>
        </w:rPr>
      </w:pPr>
      <w:r w:rsidRPr="00BA4CB7">
        <w:rPr>
          <w:rFonts w:asciiTheme="minorHAnsi" w:hAnsiTheme="minorHAnsi" w:cs="Calibri"/>
        </w:rPr>
        <w:t>Online risk score calculators for CML to determine prognosis based on pre-treatment investigations.  The EUTOS score can be used to predict 18month complete cytogenetic response (</w:t>
      </w:r>
      <w:proofErr w:type="spellStart"/>
      <w:r w:rsidRPr="00BA4CB7">
        <w:rPr>
          <w:rFonts w:asciiTheme="minorHAnsi" w:hAnsiTheme="minorHAnsi" w:cs="Calibri"/>
        </w:rPr>
        <w:t>CCyR</w:t>
      </w:r>
      <w:proofErr w:type="spellEnd"/>
      <w:r w:rsidRPr="00BA4CB7">
        <w:rPr>
          <w:rFonts w:asciiTheme="minorHAnsi" w:hAnsiTheme="minorHAnsi" w:cs="Calibri"/>
        </w:rPr>
        <w:t xml:space="preserve">) and 5-year progression-free survival (PFS) rates based on </w:t>
      </w:r>
      <w:r w:rsidRPr="00BA4CB7">
        <w:rPr>
          <w:rFonts w:asciiTheme="minorHAnsi" w:hAnsiTheme="minorHAnsi" w:cs="Calibri"/>
        </w:rPr>
        <w:lastRenderedPageBreak/>
        <w:t xml:space="preserve">imatinib treatment.  The </w:t>
      </w:r>
      <w:proofErr w:type="spellStart"/>
      <w:r w:rsidRPr="00BA4CB7">
        <w:rPr>
          <w:rFonts w:asciiTheme="minorHAnsi" w:hAnsiTheme="minorHAnsi" w:cs="Calibri"/>
        </w:rPr>
        <w:t>Sokal</w:t>
      </w:r>
      <w:proofErr w:type="spellEnd"/>
      <w:r w:rsidRPr="00BA4CB7">
        <w:rPr>
          <w:rFonts w:asciiTheme="minorHAnsi" w:hAnsiTheme="minorHAnsi" w:cs="Calibri"/>
        </w:rPr>
        <w:t xml:space="preserve"> and </w:t>
      </w:r>
      <w:proofErr w:type="spellStart"/>
      <w:r w:rsidRPr="00BA4CB7">
        <w:rPr>
          <w:rFonts w:asciiTheme="minorHAnsi" w:hAnsiTheme="minorHAnsi" w:cs="Calibri"/>
        </w:rPr>
        <w:t>Hasford</w:t>
      </w:r>
      <w:proofErr w:type="spellEnd"/>
      <w:r w:rsidRPr="00BA4CB7">
        <w:rPr>
          <w:rFonts w:asciiTheme="minorHAnsi" w:hAnsiTheme="minorHAnsi" w:cs="Calibri"/>
        </w:rPr>
        <w:t xml:space="preserve"> scoring systems were validated for parameters at diagnosis for treatment with busulfan and interferon alfa respectively. </w:t>
      </w:r>
    </w:p>
    <w:p w14:paraId="75DB30F6" w14:textId="37A956A5" w:rsidR="005F4E22" w:rsidRDefault="005F4E22" w:rsidP="005F4E22">
      <w:pPr>
        <w:jc w:val="both"/>
        <w:rPr>
          <w:rFonts w:asciiTheme="minorHAnsi" w:hAnsiTheme="minorHAnsi"/>
          <w:u w:val="single"/>
        </w:rPr>
      </w:pPr>
      <w:r w:rsidRPr="00BA4CB7">
        <w:rPr>
          <w:rFonts w:asciiTheme="minorHAnsi" w:hAnsiTheme="minorHAnsi" w:cs="Calibri"/>
        </w:rPr>
        <w:t>It is important to be aware of these different scoring systems as they do not correlate exactly with each other.  Comparing trials looking at the response of patients stratified into a high risk category can be hampered when different risk scores are used.</w:t>
      </w:r>
    </w:p>
    <w:p w14:paraId="0ED02934" w14:textId="62C96444" w:rsidR="005F4E22" w:rsidRDefault="005F4E22" w:rsidP="00EB5433">
      <w:pPr>
        <w:rPr>
          <w:rFonts w:asciiTheme="minorHAnsi" w:hAnsiTheme="minorHAnsi"/>
          <w:u w:val="single"/>
        </w:rPr>
      </w:pPr>
    </w:p>
    <w:p w14:paraId="38BEEE5E" w14:textId="302C83D8" w:rsidR="005F4E22" w:rsidRDefault="005F4E22" w:rsidP="005F4E22">
      <w:pPr>
        <w:rPr>
          <w:rFonts w:asciiTheme="minorHAnsi" w:hAnsiTheme="minorHAnsi"/>
          <w:u w:val="single"/>
        </w:rPr>
      </w:pPr>
      <w:r w:rsidRPr="005F4E22">
        <w:rPr>
          <w:rFonts w:asciiTheme="minorHAnsi" w:hAnsiTheme="minorHAnsi"/>
          <w:u w:val="single"/>
        </w:rPr>
        <w:t>Reference:</w:t>
      </w:r>
    </w:p>
    <w:p w14:paraId="36CACEA2" w14:textId="1D65FC8A" w:rsidR="005F4E22" w:rsidRDefault="005F4E22" w:rsidP="005F4E22">
      <w:pPr>
        <w:rPr>
          <w:rFonts w:asciiTheme="minorHAnsi" w:hAnsiTheme="minorHAnsi"/>
          <w:u w:val="single"/>
        </w:rPr>
      </w:pPr>
    </w:p>
    <w:p w14:paraId="6C95EBE2" w14:textId="1CCBCBDC" w:rsidR="005F4E22" w:rsidRPr="005F4E22" w:rsidRDefault="00366432" w:rsidP="005F4E22">
      <w:pPr>
        <w:rPr>
          <w:rFonts w:asciiTheme="minorHAnsi" w:hAnsiTheme="minorHAnsi" w:cs="Calibri"/>
          <w:color w:val="0000FF"/>
          <w:u w:val="single"/>
        </w:rPr>
      </w:pPr>
      <w:hyperlink r:id="rId14" w:history="1">
        <w:r w:rsidR="005F4E22" w:rsidRPr="00BA4CB7">
          <w:rPr>
            <w:rStyle w:val="Hyperlink"/>
            <w:rFonts w:asciiTheme="minorHAnsi" w:hAnsiTheme="minorHAnsi" w:cs="Calibri"/>
          </w:rPr>
          <w:t>www.bash.org.uk</w:t>
        </w:r>
      </w:hyperlink>
      <w:r w:rsidR="005F4E22">
        <w:rPr>
          <w:rStyle w:val="Hyperlink"/>
          <w:rFonts w:asciiTheme="minorHAnsi" w:hAnsiTheme="minorHAnsi" w:cs="Calibri"/>
        </w:rPr>
        <w:t xml:space="preserve"> </w:t>
      </w:r>
      <w:r w:rsidR="005F4E22" w:rsidRPr="00BA4CB7">
        <w:rPr>
          <w:rFonts w:asciiTheme="minorHAnsi" w:hAnsiTheme="minorHAnsi" w:cs="Calibri"/>
        </w:rPr>
        <w:t>Last accessed 21</w:t>
      </w:r>
      <w:r w:rsidR="005F4E22" w:rsidRPr="00BA4CB7">
        <w:rPr>
          <w:rFonts w:asciiTheme="minorHAnsi" w:hAnsiTheme="minorHAnsi" w:cs="Calibri"/>
          <w:vertAlign w:val="superscript"/>
        </w:rPr>
        <w:t>st</w:t>
      </w:r>
      <w:r w:rsidR="005F4E22" w:rsidRPr="00BA4CB7">
        <w:rPr>
          <w:rFonts w:asciiTheme="minorHAnsi" w:hAnsiTheme="minorHAnsi" w:cs="Calibri"/>
        </w:rPr>
        <w:t xml:space="preserve"> Dec 2015.</w:t>
      </w:r>
    </w:p>
    <w:p w14:paraId="0FCB5EDF" w14:textId="77777777" w:rsidR="005F4E22" w:rsidRPr="005F4E22" w:rsidRDefault="005F4E22" w:rsidP="005F4E22">
      <w:pPr>
        <w:rPr>
          <w:rFonts w:asciiTheme="minorHAnsi" w:hAnsiTheme="minorHAnsi"/>
          <w:u w:val="single"/>
        </w:rPr>
      </w:pPr>
    </w:p>
    <w:p w14:paraId="080358DF" w14:textId="77777777" w:rsidR="005F4E22" w:rsidRDefault="005F4E22" w:rsidP="005F4E22">
      <w:pPr>
        <w:rPr>
          <w:rFonts w:asciiTheme="minorHAnsi" w:hAnsiTheme="minorHAnsi"/>
          <w:u w:val="single"/>
        </w:rPr>
      </w:pPr>
      <w:r w:rsidRPr="005F4E22">
        <w:rPr>
          <w:rFonts w:asciiTheme="minorHAnsi" w:hAnsiTheme="minorHAnsi"/>
          <w:u w:val="single"/>
        </w:rPr>
        <w:t>Brief description and what you have learned:</w:t>
      </w:r>
    </w:p>
    <w:p w14:paraId="63185D44" w14:textId="03751DE9" w:rsidR="005F4E22" w:rsidRDefault="005F4E22" w:rsidP="00EB5433">
      <w:pPr>
        <w:rPr>
          <w:rFonts w:asciiTheme="minorHAnsi" w:hAnsiTheme="minorHAnsi"/>
          <w:u w:val="single"/>
        </w:rPr>
      </w:pPr>
    </w:p>
    <w:p w14:paraId="3F091E47" w14:textId="06153E8B" w:rsidR="005F4E22" w:rsidRDefault="005F4E22" w:rsidP="005F4E22">
      <w:pPr>
        <w:jc w:val="both"/>
        <w:rPr>
          <w:rFonts w:asciiTheme="minorHAnsi" w:hAnsiTheme="minorHAnsi"/>
          <w:u w:val="single"/>
        </w:rPr>
      </w:pPr>
      <w:r w:rsidRPr="00BA4CB7">
        <w:rPr>
          <w:rFonts w:asciiTheme="minorHAnsi" w:hAnsiTheme="minorHAnsi" w:cs="Calibri"/>
        </w:rPr>
        <w:t>The British Association of the Study of Headache – a resource to help diagnosis headaches, migraines etc. and give the most appropriate treatment options. Some guidelines need slight updates e.g. I disagree with the inclusion of diclofenac and domperidone, but overall they are excellent clear yet in depth guides.</w:t>
      </w:r>
    </w:p>
    <w:p w14:paraId="0C92581E" w14:textId="654B3F47" w:rsidR="005F4E22" w:rsidRDefault="005F4E22" w:rsidP="00EB5433">
      <w:pPr>
        <w:rPr>
          <w:rFonts w:asciiTheme="minorHAnsi" w:hAnsiTheme="minorHAnsi"/>
          <w:u w:val="single"/>
        </w:rPr>
      </w:pPr>
    </w:p>
    <w:p w14:paraId="46093F06" w14:textId="186F7D3C" w:rsidR="005F4E22" w:rsidRDefault="005F4E22" w:rsidP="005F4E22">
      <w:pPr>
        <w:rPr>
          <w:rFonts w:asciiTheme="minorHAnsi" w:hAnsiTheme="minorHAnsi"/>
          <w:u w:val="single"/>
        </w:rPr>
      </w:pPr>
      <w:r w:rsidRPr="005F4E22">
        <w:rPr>
          <w:rFonts w:asciiTheme="minorHAnsi" w:hAnsiTheme="minorHAnsi"/>
          <w:u w:val="single"/>
        </w:rPr>
        <w:t>Reference:</w:t>
      </w:r>
    </w:p>
    <w:p w14:paraId="0824181A" w14:textId="6BBD64DA" w:rsidR="005F4E22" w:rsidRDefault="005F4E22" w:rsidP="005F4E22">
      <w:pPr>
        <w:rPr>
          <w:rFonts w:asciiTheme="minorHAnsi" w:hAnsiTheme="minorHAnsi"/>
          <w:u w:val="single"/>
        </w:rPr>
      </w:pPr>
    </w:p>
    <w:p w14:paraId="43755916" w14:textId="77777777" w:rsidR="005F4E22" w:rsidRPr="00BA4CB7" w:rsidRDefault="00366432" w:rsidP="005F4E22">
      <w:pPr>
        <w:rPr>
          <w:rFonts w:asciiTheme="minorHAnsi" w:hAnsiTheme="minorHAnsi" w:cs="Calibri"/>
        </w:rPr>
      </w:pPr>
      <w:hyperlink r:id="rId15" w:history="1">
        <w:r w:rsidR="005F4E22" w:rsidRPr="00BA4CB7">
          <w:rPr>
            <w:rStyle w:val="Hyperlink"/>
            <w:rFonts w:asciiTheme="minorHAnsi" w:hAnsiTheme="minorHAnsi" w:cs="Calibri"/>
          </w:rPr>
          <w:t>http://real.educationforhealth.org/</w:t>
        </w:r>
      </w:hyperlink>
      <w:r w:rsidR="005F4E22" w:rsidRPr="00BA4CB7">
        <w:rPr>
          <w:rStyle w:val="Hyperlink"/>
          <w:rFonts w:asciiTheme="minorHAnsi" w:hAnsiTheme="minorHAnsi" w:cs="Calibri"/>
        </w:rPr>
        <w:t>. Accessed 20</w:t>
      </w:r>
      <w:r w:rsidR="005F4E22" w:rsidRPr="00BA4CB7">
        <w:rPr>
          <w:rStyle w:val="Hyperlink"/>
          <w:rFonts w:asciiTheme="minorHAnsi" w:hAnsiTheme="minorHAnsi" w:cs="Calibri"/>
          <w:vertAlign w:val="superscript"/>
        </w:rPr>
        <w:t>th</w:t>
      </w:r>
      <w:r w:rsidR="005F4E22" w:rsidRPr="00BA4CB7">
        <w:rPr>
          <w:rStyle w:val="Hyperlink"/>
          <w:rFonts w:asciiTheme="minorHAnsi" w:hAnsiTheme="minorHAnsi" w:cs="Calibri"/>
        </w:rPr>
        <w:t xml:space="preserve"> February 2016.</w:t>
      </w:r>
    </w:p>
    <w:p w14:paraId="5BD2DD01" w14:textId="77777777" w:rsidR="005F4E22" w:rsidRPr="005F4E22" w:rsidRDefault="005F4E22" w:rsidP="005F4E22">
      <w:pPr>
        <w:rPr>
          <w:rFonts w:asciiTheme="minorHAnsi" w:hAnsiTheme="minorHAnsi"/>
          <w:u w:val="single"/>
        </w:rPr>
      </w:pPr>
    </w:p>
    <w:p w14:paraId="4A1596B7" w14:textId="77777777" w:rsidR="005F4E22" w:rsidRDefault="005F4E22" w:rsidP="005F4E22">
      <w:pPr>
        <w:rPr>
          <w:rFonts w:asciiTheme="minorHAnsi" w:hAnsiTheme="minorHAnsi"/>
          <w:u w:val="single"/>
        </w:rPr>
      </w:pPr>
      <w:r w:rsidRPr="005F4E22">
        <w:rPr>
          <w:rFonts w:asciiTheme="minorHAnsi" w:hAnsiTheme="minorHAnsi"/>
          <w:u w:val="single"/>
        </w:rPr>
        <w:t>Brief description and what you have learned:</w:t>
      </w:r>
    </w:p>
    <w:p w14:paraId="0F0B780D" w14:textId="3943BCD4" w:rsidR="005F4E22" w:rsidRDefault="005F4E22" w:rsidP="00EB5433">
      <w:pPr>
        <w:rPr>
          <w:rFonts w:asciiTheme="minorHAnsi" w:hAnsiTheme="minorHAnsi"/>
          <w:u w:val="single"/>
        </w:rPr>
      </w:pPr>
    </w:p>
    <w:p w14:paraId="76AFDC64" w14:textId="58121B85" w:rsidR="005F4E22" w:rsidRDefault="005F4E22" w:rsidP="005F4E22">
      <w:pPr>
        <w:jc w:val="both"/>
        <w:rPr>
          <w:rFonts w:asciiTheme="minorHAnsi" w:hAnsiTheme="minorHAnsi"/>
          <w:u w:val="single"/>
        </w:rPr>
      </w:pPr>
      <w:r w:rsidRPr="00BA4CB7">
        <w:rPr>
          <w:rFonts w:asciiTheme="minorHAnsi" w:hAnsiTheme="minorHAnsi" w:cs="Calibri"/>
        </w:rPr>
        <w:t>The Respiratory Education and Learning (REAL) Respiratory Clinic developed by Education for Health and endorsed by the Primary Care Respiratory Society (PCRS).  Contains e-learning case studies including diagnosing new patients with COPD and long term management.  Case studies reflect UK guidelines.  Good to learn about monitoring requirements including spirometry (FEV</w:t>
      </w:r>
      <w:r w:rsidRPr="00BA4CB7">
        <w:rPr>
          <w:rFonts w:asciiTheme="minorHAnsi" w:hAnsiTheme="minorHAnsi" w:cs="Calibri"/>
          <w:vertAlign w:val="subscript"/>
        </w:rPr>
        <w:t>1</w:t>
      </w:r>
      <w:r w:rsidRPr="00BA4CB7">
        <w:rPr>
          <w:rFonts w:asciiTheme="minorHAnsi" w:hAnsiTheme="minorHAnsi" w:cs="Calibri"/>
        </w:rPr>
        <w:t xml:space="preserve"> and FEV</w:t>
      </w:r>
      <w:r w:rsidRPr="00BA4CB7">
        <w:rPr>
          <w:rFonts w:asciiTheme="minorHAnsi" w:hAnsiTheme="minorHAnsi" w:cs="Calibri"/>
          <w:vertAlign w:val="subscript"/>
        </w:rPr>
        <w:t>1</w:t>
      </w:r>
      <w:r w:rsidRPr="00BA4CB7">
        <w:rPr>
          <w:rFonts w:asciiTheme="minorHAnsi" w:hAnsiTheme="minorHAnsi" w:cs="Calibri"/>
        </w:rPr>
        <w:t>/FVC ratio), patient history taking of symptoms and observations from clinical examination and blood results.</w:t>
      </w:r>
    </w:p>
    <w:p w14:paraId="43A6CD00" w14:textId="7113529D" w:rsidR="005F4E22" w:rsidRDefault="005F4E22" w:rsidP="00EB5433">
      <w:pPr>
        <w:rPr>
          <w:rFonts w:asciiTheme="minorHAnsi" w:hAnsiTheme="minorHAnsi"/>
          <w:u w:val="single"/>
        </w:rPr>
      </w:pPr>
    </w:p>
    <w:p w14:paraId="00335503" w14:textId="3AC8D4E1" w:rsidR="005F4E22" w:rsidRDefault="005F4E22" w:rsidP="005F4E22">
      <w:pPr>
        <w:rPr>
          <w:rFonts w:asciiTheme="minorHAnsi" w:hAnsiTheme="minorHAnsi"/>
          <w:u w:val="single"/>
        </w:rPr>
      </w:pPr>
      <w:r w:rsidRPr="005F4E22">
        <w:rPr>
          <w:rFonts w:asciiTheme="minorHAnsi" w:hAnsiTheme="minorHAnsi"/>
          <w:u w:val="single"/>
        </w:rPr>
        <w:t>Reference:</w:t>
      </w:r>
    </w:p>
    <w:p w14:paraId="459B8B3D" w14:textId="7B397248" w:rsidR="005F4E22" w:rsidRDefault="005F4E22" w:rsidP="005F4E22">
      <w:pPr>
        <w:rPr>
          <w:rFonts w:asciiTheme="minorHAnsi" w:hAnsiTheme="minorHAnsi"/>
          <w:u w:val="single"/>
        </w:rPr>
      </w:pPr>
    </w:p>
    <w:p w14:paraId="30EB8B96" w14:textId="77777777" w:rsidR="005F4E22" w:rsidRPr="00BA4CB7" w:rsidRDefault="005F4E22" w:rsidP="005F4E22">
      <w:pPr>
        <w:jc w:val="both"/>
        <w:rPr>
          <w:rFonts w:asciiTheme="minorHAnsi" w:hAnsiTheme="minorHAnsi" w:cs="Calibri"/>
        </w:rPr>
      </w:pPr>
      <w:r w:rsidRPr="00BA4CB7">
        <w:rPr>
          <w:rFonts w:asciiTheme="minorHAnsi" w:hAnsiTheme="minorHAnsi" w:cs="Calibri"/>
        </w:rPr>
        <w:t xml:space="preserve">BRANFORD, S. et al. (2008) Desirable performance characteristics for BCR-ABL measurement on an international reporting scale to allow consistent interpretation of individual patient response and comparison of response rates between clinical trials. </w:t>
      </w:r>
      <w:r w:rsidRPr="00BA4CB7">
        <w:rPr>
          <w:rFonts w:asciiTheme="minorHAnsi" w:hAnsiTheme="minorHAnsi" w:cs="Calibri"/>
          <w:i/>
        </w:rPr>
        <w:t>Blood</w:t>
      </w:r>
      <w:r w:rsidRPr="00BA4CB7">
        <w:rPr>
          <w:rFonts w:asciiTheme="minorHAnsi" w:hAnsiTheme="minorHAnsi" w:cs="Calibri"/>
        </w:rPr>
        <w:t>, 2008, 112 (8), pp3330-3338.</w:t>
      </w:r>
    </w:p>
    <w:p w14:paraId="65E22D2A" w14:textId="77777777" w:rsidR="005F4E22" w:rsidRPr="005F4E22" w:rsidRDefault="005F4E22" w:rsidP="005F4E22">
      <w:pPr>
        <w:rPr>
          <w:rFonts w:asciiTheme="minorHAnsi" w:hAnsiTheme="minorHAnsi"/>
          <w:u w:val="single"/>
        </w:rPr>
      </w:pPr>
    </w:p>
    <w:p w14:paraId="5D1D4605" w14:textId="3E4BC78E" w:rsidR="005F4E22" w:rsidRDefault="005F4E22" w:rsidP="005F4E22">
      <w:pPr>
        <w:rPr>
          <w:rFonts w:asciiTheme="minorHAnsi" w:hAnsiTheme="minorHAnsi"/>
          <w:u w:val="single"/>
        </w:rPr>
      </w:pPr>
      <w:r w:rsidRPr="005F4E22">
        <w:rPr>
          <w:rFonts w:asciiTheme="minorHAnsi" w:hAnsiTheme="minorHAnsi"/>
          <w:u w:val="single"/>
        </w:rPr>
        <w:t>Brief description and what you have learned:</w:t>
      </w:r>
    </w:p>
    <w:p w14:paraId="7C3370FE" w14:textId="2109BE88" w:rsidR="005F4E22" w:rsidRDefault="005F4E22" w:rsidP="005F4E22">
      <w:pPr>
        <w:rPr>
          <w:rFonts w:asciiTheme="minorHAnsi" w:hAnsiTheme="minorHAnsi"/>
          <w:u w:val="single"/>
        </w:rPr>
      </w:pPr>
    </w:p>
    <w:p w14:paraId="42DAC47D" w14:textId="432A8513" w:rsidR="005F4E22" w:rsidRDefault="005F4E22" w:rsidP="005F4E22">
      <w:pPr>
        <w:jc w:val="both"/>
        <w:rPr>
          <w:rFonts w:asciiTheme="minorHAnsi" w:hAnsiTheme="minorHAnsi" w:cs="Calibri"/>
        </w:rPr>
      </w:pPr>
      <w:r w:rsidRPr="00BA4CB7">
        <w:rPr>
          <w:rFonts w:asciiTheme="minorHAnsi" w:hAnsiTheme="minorHAnsi" w:cs="Calibri"/>
        </w:rPr>
        <w:t>Describes the problem of inter-laboratory variation in molecular analysis and impact on clinical interpretation and comparison of results between clinical trials.</w:t>
      </w:r>
    </w:p>
    <w:p w14:paraId="513FF08F" w14:textId="77777777" w:rsidR="005F4E22" w:rsidRPr="00BA4CB7" w:rsidRDefault="005F4E22" w:rsidP="005F4E22">
      <w:pPr>
        <w:jc w:val="both"/>
        <w:rPr>
          <w:rFonts w:asciiTheme="minorHAnsi" w:hAnsiTheme="minorHAnsi" w:cs="Calibri"/>
        </w:rPr>
      </w:pPr>
    </w:p>
    <w:p w14:paraId="5DB0D29D" w14:textId="29588475" w:rsidR="005F4E22" w:rsidRDefault="005F4E22" w:rsidP="005F4E22">
      <w:pPr>
        <w:jc w:val="both"/>
        <w:rPr>
          <w:rFonts w:asciiTheme="minorHAnsi" w:hAnsiTheme="minorHAnsi" w:cs="Calibri"/>
        </w:rPr>
      </w:pPr>
      <w:r w:rsidRPr="00BA4CB7">
        <w:rPr>
          <w:rFonts w:asciiTheme="minorHAnsi" w:hAnsiTheme="minorHAnsi" w:cs="Calibri"/>
        </w:rPr>
        <w:t>The IRIS trial (see section 2) established the values for molecular response in terms of log reduction in BCR-ABL1 ratio.  Other trials have used these milestones but without using the same laboratory there is wide variation (up to 10-fold difference) in the reported values.</w:t>
      </w:r>
    </w:p>
    <w:p w14:paraId="43DE5332" w14:textId="77777777" w:rsidR="005F4E22" w:rsidRPr="00BA4CB7" w:rsidRDefault="005F4E22" w:rsidP="005F4E22">
      <w:pPr>
        <w:jc w:val="both"/>
        <w:rPr>
          <w:rFonts w:asciiTheme="minorHAnsi" w:hAnsiTheme="minorHAnsi" w:cs="Calibri"/>
        </w:rPr>
      </w:pPr>
    </w:p>
    <w:p w14:paraId="0DDF1950" w14:textId="638CBDC1" w:rsidR="005F4E22" w:rsidRDefault="005F4E22" w:rsidP="005F4E22">
      <w:pPr>
        <w:jc w:val="both"/>
        <w:rPr>
          <w:rFonts w:asciiTheme="minorHAnsi" w:hAnsiTheme="minorHAnsi"/>
          <w:u w:val="single"/>
        </w:rPr>
      </w:pPr>
      <w:r w:rsidRPr="00BA4CB7">
        <w:rPr>
          <w:rFonts w:asciiTheme="minorHAnsi" w:hAnsiTheme="minorHAnsi" w:cs="Calibri"/>
        </w:rPr>
        <w:t xml:space="preserve">The World Health Organisation approved standard international reference materials for quantitation of BCR-ABL translocation by real-time quantitative polymerase chain reaction (Q-PCR) in November 2009 following work by the International BCR-ABL Standardization Group (WHITE, H. et al. (2010) Establishment of the first World Health Organization International Genetic Reference Panel for quantitation of BCR-ABL mRNA. </w:t>
      </w:r>
      <w:r w:rsidRPr="00BA4CB7">
        <w:rPr>
          <w:rFonts w:asciiTheme="minorHAnsi" w:hAnsiTheme="minorHAnsi" w:cs="Calibri"/>
          <w:i/>
        </w:rPr>
        <w:t>Blood</w:t>
      </w:r>
      <w:r w:rsidRPr="00BA4CB7">
        <w:rPr>
          <w:rFonts w:asciiTheme="minorHAnsi" w:hAnsiTheme="minorHAnsi" w:cs="Calibri"/>
        </w:rPr>
        <w:t>, 2010, 116(22), e111-e117).</w:t>
      </w:r>
    </w:p>
    <w:p w14:paraId="1E5B62DD" w14:textId="32EC7DF8" w:rsidR="005F4E22" w:rsidRDefault="005F4E22" w:rsidP="005F4E22">
      <w:pPr>
        <w:rPr>
          <w:rFonts w:asciiTheme="minorHAnsi" w:hAnsiTheme="minorHAnsi"/>
          <w:u w:val="single"/>
        </w:rPr>
      </w:pPr>
    </w:p>
    <w:p w14:paraId="3F57A369" w14:textId="20A38A68" w:rsidR="005F4E22" w:rsidRDefault="005F4E22" w:rsidP="005F4E22">
      <w:pPr>
        <w:rPr>
          <w:rFonts w:asciiTheme="minorHAnsi" w:hAnsiTheme="minorHAnsi"/>
          <w:u w:val="single"/>
        </w:rPr>
      </w:pPr>
      <w:r w:rsidRPr="005F4E22">
        <w:rPr>
          <w:rFonts w:asciiTheme="minorHAnsi" w:hAnsiTheme="minorHAnsi"/>
          <w:u w:val="single"/>
        </w:rPr>
        <w:t>Reference:</w:t>
      </w:r>
    </w:p>
    <w:p w14:paraId="3D01705A" w14:textId="7B400BDA" w:rsidR="005F4E22" w:rsidRDefault="005F4E22" w:rsidP="005F4E22">
      <w:pPr>
        <w:rPr>
          <w:rFonts w:asciiTheme="minorHAnsi" w:hAnsiTheme="minorHAnsi"/>
          <w:u w:val="single"/>
        </w:rPr>
      </w:pPr>
    </w:p>
    <w:p w14:paraId="63139E42" w14:textId="02AB31C2" w:rsidR="005F4E22" w:rsidRPr="005F4E22" w:rsidRDefault="005F4E22" w:rsidP="005F4E22">
      <w:pPr>
        <w:jc w:val="both"/>
        <w:rPr>
          <w:rFonts w:asciiTheme="minorHAnsi" w:hAnsiTheme="minorHAnsi"/>
          <w:u w:val="single"/>
        </w:rPr>
      </w:pPr>
      <w:r w:rsidRPr="00BA4CB7">
        <w:rPr>
          <w:rFonts w:asciiTheme="minorHAnsi" w:hAnsiTheme="minorHAnsi" w:cs="Calibri"/>
        </w:rPr>
        <w:t xml:space="preserve">Raghunath, A. Innes, A. Norfolk, L. </w:t>
      </w:r>
      <w:proofErr w:type="spellStart"/>
      <w:r w:rsidRPr="00BA4CB7">
        <w:rPr>
          <w:rFonts w:asciiTheme="minorHAnsi" w:hAnsiTheme="minorHAnsi" w:cs="Calibri"/>
        </w:rPr>
        <w:t>Hannant</w:t>
      </w:r>
      <w:proofErr w:type="spellEnd"/>
      <w:r w:rsidRPr="00BA4CB7">
        <w:rPr>
          <w:rFonts w:asciiTheme="minorHAnsi" w:hAnsiTheme="minorHAnsi" w:cs="Calibri"/>
        </w:rPr>
        <w:t xml:space="preserve">, M. Greene, T. Greenstone, M. </w:t>
      </w:r>
      <w:proofErr w:type="spellStart"/>
      <w:r w:rsidRPr="00BA4CB7">
        <w:rPr>
          <w:rFonts w:asciiTheme="minorHAnsi" w:hAnsiTheme="minorHAnsi" w:cs="Calibri"/>
        </w:rPr>
        <w:t>Morice</w:t>
      </w:r>
      <w:proofErr w:type="spellEnd"/>
      <w:r w:rsidRPr="00BA4CB7">
        <w:rPr>
          <w:rFonts w:asciiTheme="minorHAnsi" w:hAnsiTheme="minorHAnsi" w:cs="Calibri"/>
        </w:rPr>
        <w:t>, A. (2006). Difficulties in the Interpretation of Lung Function Tests in the Diagnosis of Asthma and Chronic Obstructive Pulmonary Disease. Journal of Asthma, Informa Healthcare. 42 (1), Pages 657-660.</w:t>
      </w:r>
    </w:p>
    <w:p w14:paraId="2024CFAF" w14:textId="77777777" w:rsidR="005F4E22" w:rsidRPr="005F4E22" w:rsidRDefault="005F4E22" w:rsidP="005F4E22">
      <w:pPr>
        <w:rPr>
          <w:rFonts w:asciiTheme="minorHAnsi" w:hAnsiTheme="minorHAnsi"/>
          <w:u w:val="single"/>
        </w:rPr>
      </w:pPr>
    </w:p>
    <w:p w14:paraId="3F402C90" w14:textId="77777777" w:rsidR="005F4E22" w:rsidRDefault="005F4E22" w:rsidP="005F4E22">
      <w:pPr>
        <w:rPr>
          <w:rFonts w:asciiTheme="minorHAnsi" w:hAnsiTheme="minorHAnsi"/>
          <w:u w:val="single"/>
        </w:rPr>
      </w:pPr>
      <w:r w:rsidRPr="005F4E22">
        <w:rPr>
          <w:rFonts w:asciiTheme="minorHAnsi" w:hAnsiTheme="minorHAnsi"/>
          <w:u w:val="single"/>
        </w:rPr>
        <w:t>Brief description and what you have learned:</w:t>
      </w:r>
    </w:p>
    <w:p w14:paraId="35A96A16" w14:textId="4E359366" w:rsidR="005F4E22" w:rsidRDefault="005F4E22" w:rsidP="005F4E22">
      <w:pPr>
        <w:rPr>
          <w:rFonts w:asciiTheme="minorHAnsi" w:hAnsiTheme="minorHAnsi"/>
          <w:u w:val="single"/>
        </w:rPr>
      </w:pPr>
    </w:p>
    <w:p w14:paraId="78649641" w14:textId="45E53286" w:rsidR="005F4E22" w:rsidRDefault="005F4E22" w:rsidP="005F4E22">
      <w:pPr>
        <w:jc w:val="both"/>
        <w:rPr>
          <w:rFonts w:asciiTheme="minorHAnsi" w:hAnsiTheme="minorHAnsi"/>
          <w:u w:val="single"/>
        </w:rPr>
      </w:pPr>
      <w:r w:rsidRPr="00BA4CB7">
        <w:rPr>
          <w:rFonts w:asciiTheme="minorHAnsi" w:hAnsiTheme="minorHAnsi" w:cs="Calibri"/>
        </w:rPr>
        <w:t>This explains the lung function tests that are commonly used and how many conventional tests that only address peak flow and FEV1 etc. may not provide the necessary information to make a complete and informed decision. This paper looks at spirometry and specifically which ratios to use in which patient cohort.</w:t>
      </w:r>
    </w:p>
    <w:p w14:paraId="717963D2" w14:textId="58F755B7" w:rsidR="005F4E22" w:rsidRDefault="005F4E22" w:rsidP="005F4E22">
      <w:pPr>
        <w:rPr>
          <w:rFonts w:asciiTheme="minorHAnsi" w:hAnsiTheme="minorHAnsi"/>
          <w:u w:val="single"/>
        </w:rPr>
      </w:pPr>
    </w:p>
    <w:p w14:paraId="6A1CEFD5" w14:textId="79B50D9F" w:rsidR="005F4E22" w:rsidRDefault="005F4E22" w:rsidP="005F4E22">
      <w:pPr>
        <w:rPr>
          <w:rFonts w:asciiTheme="minorHAnsi" w:hAnsiTheme="minorHAnsi"/>
          <w:u w:val="single"/>
        </w:rPr>
      </w:pPr>
      <w:r w:rsidRPr="005F4E22">
        <w:rPr>
          <w:rFonts w:asciiTheme="minorHAnsi" w:hAnsiTheme="minorHAnsi"/>
          <w:u w:val="single"/>
        </w:rPr>
        <w:t>Reference:</w:t>
      </w:r>
    </w:p>
    <w:p w14:paraId="31D88685" w14:textId="5AAD7C99" w:rsidR="005F4E22" w:rsidRDefault="005F4E22" w:rsidP="005F4E22">
      <w:pPr>
        <w:rPr>
          <w:rFonts w:asciiTheme="minorHAnsi" w:hAnsiTheme="minorHAnsi"/>
          <w:u w:val="single"/>
        </w:rPr>
      </w:pPr>
    </w:p>
    <w:p w14:paraId="4C91E315" w14:textId="13C16CE1" w:rsidR="005F4E22" w:rsidRPr="005F4E22" w:rsidRDefault="005F4E22" w:rsidP="005F4E22">
      <w:pPr>
        <w:rPr>
          <w:rFonts w:asciiTheme="minorHAnsi" w:hAnsiTheme="minorHAnsi"/>
          <w:u w:val="single"/>
        </w:rPr>
      </w:pPr>
      <w:proofErr w:type="spellStart"/>
      <w:r w:rsidRPr="00BA4CB7">
        <w:rPr>
          <w:rFonts w:asciiTheme="minorHAnsi" w:hAnsiTheme="minorHAnsi" w:cs="Calibri"/>
        </w:rPr>
        <w:t>Chrystyn</w:t>
      </w:r>
      <w:proofErr w:type="spellEnd"/>
      <w:r w:rsidRPr="00BA4CB7">
        <w:rPr>
          <w:rFonts w:asciiTheme="minorHAnsi" w:hAnsiTheme="minorHAnsi" w:cs="Calibri"/>
        </w:rPr>
        <w:t>, H. Price, D. (2009). What you need to know about inhalers and how to use them.</w:t>
      </w:r>
      <w:r w:rsidRPr="00BA4CB7">
        <w:rPr>
          <w:rStyle w:val="apple-converted-space"/>
          <w:rFonts w:asciiTheme="minorHAnsi" w:hAnsiTheme="minorHAnsi" w:cs="Calibri"/>
        </w:rPr>
        <w:t> </w:t>
      </w:r>
      <w:r w:rsidRPr="00BA4CB7">
        <w:rPr>
          <w:rFonts w:asciiTheme="minorHAnsi" w:hAnsiTheme="minorHAnsi" w:cs="Calibri"/>
          <w:i/>
        </w:rPr>
        <w:t>Prescriber</w:t>
      </w:r>
      <w:r w:rsidRPr="00BA4CB7">
        <w:rPr>
          <w:rFonts w:asciiTheme="minorHAnsi" w:hAnsiTheme="minorHAnsi" w:cs="Calibri"/>
        </w:rPr>
        <w:t>. 20 (12), Pages 47-52.</w:t>
      </w:r>
    </w:p>
    <w:p w14:paraId="7329A434" w14:textId="77777777" w:rsidR="005F4E22" w:rsidRPr="005F4E22" w:rsidRDefault="005F4E22" w:rsidP="005F4E22">
      <w:pPr>
        <w:rPr>
          <w:rFonts w:asciiTheme="minorHAnsi" w:hAnsiTheme="minorHAnsi"/>
          <w:u w:val="single"/>
        </w:rPr>
      </w:pPr>
    </w:p>
    <w:p w14:paraId="1F8D5953" w14:textId="77777777" w:rsidR="005F4E22" w:rsidRDefault="005F4E22" w:rsidP="005F4E22">
      <w:pPr>
        <w:rPr>
          <w:rFonts w:asciiTheme="minorHAnsi" w:hAnsiTheme="minorHAnsi"/>
          <w:u w:val="single"/>
        </w:rPr>
      </w:pPr>
      <w:r w:rsidRPr="005F4E22">
        <w:rPr>
          <w:rFonts w:asciiTheme="minorHAnsi" w:hAnsiTheme="minorHAnsi"/>
          <w:u w:val="single"/>
        </w:rPr>
        <w:t>Brief description and what you have learned:</w:t>
      </w:r>
    </w:p>
    <w:p w14:paraId="2EB17D34" w14:textId="77777777" w:rsidR="005F4E22" w:rsidRDefault="005F4E22" w:rsidP="005F4E22">
      <w:pPr>
        <w:rPr>
          <w:rFonts w:asciiTheme="minorHAnsi" w:hAnsiTheme="minorHAnsi"/>
          <w:u w:val="single"/>
        </w:rPr>
      </w:pPr>
    </w:p>
    <w:p w14:paraId="7598C10F" w14:textId="12877F4F" w:rsidR="005F4E22" w:rsidRDefault="005F4E22" w:rsidP="005F4E22">
      <w:pPr>
        <w:jc w:val="both"/>
        <w:rPr>
          <w:rFonts w:asciiTheme="minorHAnsi" w:hAnsiTheme="minorHAnsi" w:cs="Calibri"/>
        </w:rPr>
      </w:pPr>
      <w:r w:rsidRPr="00BA4CB7">
        <w:rPr>
          <w:rFonts w:asciiTheme="minorHAnsi" w:hAnsiTheme="minorHAnsi" w:cs="Calibri"/>
        </w:rPr>
        <w:t xml:space="preserve">A detailed overview of inhaler technique. This helps professionals develop their practical understanding so that they can clearly and logically explain this to patients. Many respiratory professionals, including Henry </w:t>
      </w:r>
      <w:proofErr w:type="spellStart"/>
      <w:r w:rsidRPr="00BA4CB7">
        <w:rPr>
          <w:rFonts w:asciiTheme="minorHAnsi" w:hAnsiTheme="minorHAnsi" w:cs="Calibri"/>
        </w:rPr>
        <w:t>Chrystyn</w:t>
      </w:r>
      <w:proofErr w:type="spellEnd"/>
      <w:r w:rsidRPr="00BA4CB7">
        <w:rPr>
          <w:rFonts w:asciiTheme="minorHAnsi" w:hAnsiTheme="minorHAnsi" w:cs="Calibri"/>
        </w:rPr>
        <w:t xml:space="preserve"> consider inhaler technique to be the main reason for poor control. From a medicines optimisation perspective, correct technique would mean that ‘step downs’ could happen in asthmatic patients (as per BTS Guidelines), which would not only lead to cost effective prescribing, but also better outcomes for patients in terms of the long-term side effects of prolonged high-dose ICS use.</w:t>
      </w:r>
    </w:p>
    <w:p w14:paraId="732BB7F6" w14:textId="77777777" w:rsidR="005F4E22" w:rsidRPr="005F4E22" w:rsidRDefault="005F4E22" w:rsidP="00EB5433">
      <w:pPr>
        <w:rPr>
          <w:rFonts w:asciiTheme="minorHAnsi" w:hAnsiTheme="minorHAnsi"/>
          <w:u w:val="single"/>
        </w:rPr>
      </w:pPr>
    </w:p>
    <w:p w14:paraId="1C317C93" w14:textId="685CA27E" w:rsidR="005F4E22" w:rsidRDefault="005F4E22" w:rsidP="005F4E22">
      <w:pPr>
        <w:rPr>
          <w:rFonts w:asciiTheme="minorHAnsi" w:hAnsiTheme="minorHAnsi"/>
          <w:u w:val="single"/>
        </w:rPr>
      </w:pPr>
      <w:r w:rsidRPr="005F4E22">
        <w:rPr>
          <w:rFonts w:asciiTheme="minorHAnsi" w:hAnsiTheme="minorHAnsi"/>
          <w:u w:val="single"/>
        </w:rPr>
        <w:t>Reference:</w:t>
      </w:r>
    </w:p>
    <w:p w14:paraId="44D2A439" w14:textId="5FF3007D" w:rsidR="005F4E22" w:rsidRDefault="005F4E22" w:rsidP="005F4E22">
      <w:pPr>
        <w:rPr>
          <w:rFonts w:asciiTheme="minorHAnsi" w:hAnsiTheme="minorHAnsi"/>
          <w:u w:val="single"/>
        </w:rPr>
      </w:pPr>
    </w:p>
    <w:p w14:paraId="086696D4" w14:textId="62B4E734" w:rsidR="005F4E22" w:rsidRPr="005F4E22" w:rsidRDefault="005F4E22" w:rsidP="005F4E22">
      <w:pPr>
        <w:jc w:val="both"/>
        <w:rPr>
          <w:rFonts w:asciiTheme="minorHAnsi" w:hAnsiTheme="minorHAnsi"/>
          <w:u w:val="single"/>
        </w:rPr>
      </w:pPr>
      <w:r w:rsidRPr="00BA4CB7">
        <w:rPr>
          <w:rFonts w:asciiTheme="minorHAnsi" w:hAnsiTheme="minorHAnsi" w:cs="Calibri"/>
        </w:rPr>
        <w:t xml:space="preserve">NOENS, L., VAN LIERDE, M., DE BOCK, R. et al (2009) Prevalence, determinants, and outcomes of nonadherence to imatinib therapy in patients with chronic myeloid </w:t>
      </w:r>
      <w:proofErr w:type="spellStart"/>
      <w:r w:rsidRPr="00BA4CB7">
        <w:rPr>
          <w:rFonts w:asciiTheme="minorHAnsi" w:hAnsiTheme="minorHAnsi" w:cs="Calibri"/>
        </w:rPr>
        <w:t>leukemia</w:t>
      </w:r>
      <w:proofErr w:type="spellEnd"/>
      <w:r w:rsidRPr="00BA4CB7">
        <w:rPr>
          <w:rFonts w:asciiTheme="minorHAnsi" w:hAnsiTheme="minorHAnsi" w:cs="Calibri"/>
        </w:rPr>
        <w:t xml:space="preserve">: the ADAGIO study.  </w:t>
      </w:r>
      <w:r w:rsidRPr="00BA4CB7">
        <w:rPr>
          <w:rFonts w:asciiTheme="minorHAnsi" w:hAnsiTheme="minorHAnsi" w:cs="Calibri"/>
          <w:i/>
        </w:rPr>
        <w:t>Blood</w:t>
      </w:r>
      <w:r w:rsidRPr="00BA4CB7">
        <w:rPr>
          <w:rFonts w:asciiTheme="minorHAnsi" w:hAnsiTheme="minorHAnsi" w:cs="Calibri"/>
        </w:rPr>
        <w:t>, 113 (22), pp5401-5411.</w:t>
      </w:r>
    </w:p>
    <w:p w14:paraId="3184E646" w14:textId="77777777" w:rsidR="005F4E22" w:rsidRPr="005F4E22" w:rsidRDefault="005F4E22" w:rsidP="005F4E22">
      <w:pPr>
        <w:rPr>
          <w:rFonts w:asciiTheme="minorHAnsi" w:hAnsiTheme="minorHAnsi"/>
          <w:u w:val="single"/>
        </w:rPr>
      </w:pPr>
    </w:p>
    <w:p w14:paraId="5282E139" w14:textId="77777777" w:rsidR="005F4E22" w:rsidRDefault="005F4E22" w:rsidP="005F4E22">
      <w:pPr>
        <w:rPr>
          <w:rFonts w:asciiTheme="minorHAnsi" w:hAnsiTheme="minorHAnsi"/>
          <w:u w:val="single"/>
        </w:rPr>
      </w:pPr>
      <w:r w:rsidRPr="005F4E22">
        <w:rPr>
          <w:rFonts w:asciiTheme="minorHAnsi" w:hAnsiTheme="minorHAnsi"/>
          <w:u w:val="single"/>
        </w:rPr>
        <w:t>Brief description and what you have learned:</w:t>
      </w:r>
    </w:p>
    <w:p w14:paraId="23F8DB39" w14:textId="1BD29E4B" w:rsidR="00EB5433" w:rsidRDefault="00EB5433" w:rsidP="003B2381">
      <w:pPr>
        <w:rPr>
          <w:rFonts w:asciiTheme="minorHAnsi" w:hAnsiTheme="minorHAnsi"/>
          <w:b/>
        </w:rPr>
      </w:pPr>
    </w:p>
    <w:p w14:paraId="3AB25B0B" w14:textId="3B9DDAC8" w:rsidR="005F4E22" w:rsidRDefault="005F4E22" w:rsidP="005F4E22">
      <w:pPr>
        <w:jc w:val="both"/>
        <w:rPr>
          <w:rFonts w:asciiTheme="minorHAnsi" w:hAnsiTheme="minorHAnsi" w:cs="Calibri"/>
        </w:rPr>
      </w:pPr>
      <w:r w:rsidRPr="00BA4CB7">
        <w:rPr>
          <w:rFonts w:asciiTheme="minorHAnsi" w:hAnsiTheme="minorHAnsi" w:cs="Calibri"/>
        </w:rPr>
        <w:lastRenderedPageBreak/>
        <w:t>This was a prospective, observational, non-interventional study which showed that sub-optimal response was correlated to increasing levels of non-adherence to imatinib.  One-third of patients were shown to be non-adherent.  The authors discuss the factors affecting adherence and advise that non-adherence must be ruled out as a possible cause of lack of optimal response before switching to another TKI.</w:t>
      </w:r>
    </w:p>
    <w:p w14:paraId="31DEF91B" w14:textId="77777777" w:rsidR="005F4E22" w:rsidRPr="00BA4CB7" w:rsidRDefault="005F4E22" w:rsidP="005F4E22">
      <w:pPr>
        <w:jc w:val="both"/>
        <w:rPr>
          <w:rFonts w:asciiTheme="minorHAnsi" w:hAnsiTheme="minorHAnsi" w:cs="Calibri"/>
        </w:rPr>
      </w:pPr>
    </w:p>
    <w:p w14:paraId="7A0F5EBC" w14:textId="675B7B80" w:rsidR="005F4E22" w:rsidRDefault="005F4E22" w:rsidP="005F4E22">
      <w:pPr>
        <w:jc w:val="both"/>
        <w:rPr>
          <w:rFonts w:asciiTheme="minorHAnsi" w:hAnsiTheme="minorHAnsi"/>
          <w:b/>
        </w:rPr>
      </w:pPr>
      <w:r w:rsidRPr="00BA4CB7">
        <w:rPr>
          <w:rFonts w:asciiTheme="minorHAnsi" w:hAnsiTheme="minorHAnsi" w:cs="Calibri"/>
        </w:rPr>
        <w:t>The study was very small and only carried out over a short (90-day) period, and made heavy use of statistical methods.</w:t>
      </w:r>
    </w:p>
    <w:p w14:paraId="4C918E15" w14:textId="0AED3EDC" w:rsidR="005F4E22" w:rsidRDefault="005F4E22" w:rsidP="003B2381">
      <w:pPr>
        <w:rPr>
          <w:rFonts w:asciiTheme="minorHAnsi" w:hAnsiTheme="minorHAnsi"/>
          <w:b/>
        </w:rPr>
      </w:pPr>
    </w:p>
    <w:p w14:paraId="790653BB" w14:textId="77777777" w:rsidR="00EB5433" w:rsidRDefault="00EB5433" w:rsidP="003B2381">
      <w:pPr>
        <w:rPr>
          <w:rFonts w:asciiTheme="minorHAnsi" w:hAnsiTheme="minorHAnsi"/>
          <w:b/>
        </w:rPr>
      </w:pPr>
    </w:p>
    <w:p w14:paraId="00E5867A" w14:textId="1CFEE0E4" w:rsidR="003B2381" w:rsidRPr="003B2381" w:rsidRDefault="003B2381" w:rsidP="003B2381">
      <w:pPr>
        <w:rPr>
          <w:rFonts w:asciiTheme="minorHAnsi" w:hAnsiTheme="minorHAnsi"/>
          <w:b/>
        </w:rPr>
      </w:pPr>
      <w:r>
        <w:rPr>
          <w:rFonts w:asciiTheme="minorHAnsi" w:hAnsiTheme="minorHAnsi"/>
          <w:b/>
        </w:rPr>
        <w:t>Table 4</w:t>
      </w:r>
      <w:r w:rsidRPr="003B2381">
        <w:rPr>
          <w:rFonts w:asciiTheme="minorHAnsi" w:hAnsiTheme="minorHAnsi"/>
          <w:b/>
        </w:rPr>
        <w:t>b</w:t>
      </w:r>
      <w:r>
        <w:rPr>
          <w:rFonts w:asciiTheme="minorHAnsi" w:hAnsiTheme="minorHAnsi"/>
          <w:b/>
        </w:rPr>
        <w:t xml:space="preserve">: </w:t>
      </w:r>
      <w:r w:rsidRPr="001B150E">
        <w:rPr>
          <w:rFonts w:asciiTheme="minorHAnsi" w:hAnsiTheme="minorHAnsi"/>
          <w:b/>
        </w:rPr>
        <w:t>Summary</w:t>
      </w:r>
      <w:r>
        <w:rPr>
          <w:rFonts w:asciiTheme="minorHAnsi" w:hAnsiTheme="minorHAnsi"/>
          <w:b/>
        </w:rPr>
        <w:t xml:space="preserve"> notes on drugs that you will prescribe</w:t>
      </w:r>
    </w:p>
    <w:p w14:paraId="0064B603" w14:textId="77777777" w:rsidR="003B2381" w:rsidRPr="00F11B48" w:rsidRDefault="003B2381" w:rsidP="003B2381">
      <w:pPr>
        <w:rPr>
          <w:rFonts w:asciiTheme="minorHAnsi" w:hAnsiTheme="minorHAnsi"/>
        </w:rPr>
      </w:pPr>
    </w:p>
    <w:p w14:paraId="2C975AD9" w14:textId="6AA6C1D0" w:rsidR="00EB5433" w:rsidRPr="00F11B48" w:rsidRDefault="00CA78C3" w:rsidP="00EB5433">
      <w:pPr>
        <w:rPr>
          <w:rFonts w:asciiTheme="minorHAnsi" w:hAnsiTheme="minorHAnsi"/>
          <w:i/>
        </w:rPr>
      </w:pPr>
      <w:r>
        <w:rPr>
          <w:rFonts w:asciiTheme="minorHAnsi" w:hAnsiTheme="minorHAnsi"/>
          <w:i/>
        </w:rPr>
        <w:t>S</w:t>
      </w:r>
      <w:r w:rsidR="003B2381" w:rsidRPr="00F11B48">
        <w:rPr>
          <w:rFonts w:asciiTheme="minorHAnsi" w:hAnsiTheme="minorHAnsi"/>
          <w:i/>
        </w:rPr>
        <w:t xml:space="preserve">ummarise </w:t>
      </w:r>
      <w:r w:rsidR="003B2381">
        <w:rPr>
          <w:rFonts w:asciiTheme="minorHAnsi" w:hAnsiTheme="minorHAnsi"/>
          <w:i/>
        </w:rPr>
        <w:t xml:space="preserve">information relating to </w:t>
      </w:r>
      <w:r w:rsidR="003B2381" w:rsidRPr="00F11B48">
        <w:rPr>
          <w:rFonts w:asciiTheme="minorHAnsi" w:hAnsiTheme="minorHAnsi"/>
          <w:i/>
        </w:rPr>
        <w:t>the drugs that you will prescribe</w:t>
      </w:r>
      <w:r w:rsidR="00EB5433">
        <w:rPr>
          <w:rFonts w:asciiTheme="minorHAnsi" w:hAnsiTheme="minorHAnsi"/>
          <w:i/>
        </w:rPr>
        <w:t xml:space="preserve">. </w:t>
      </w:r>
      <w:r w:rsidR="00EB5433" w:rsidRPr="00957FC0">
        <w:rPr>
          <w:rFonts w:asciiTheme="minorHAnsi" w:hAnsiTheme="minorHAnsi"/>
          <w:i/>
        </w:rPr>
        <w:t xml:space="preserve">(Please extend this </w:t>
      </w:r>
      <w:r w:rsidR="00EB5433">
        <w:rPr>
          <w:rFonts w:asciiTheme="minorHAnsi" w:hAnsiTheme="minorHAnsi"/>
          <w:i/>
        </w:rPr>
        <w:t>list</w:t>
      </w:r>
      <w:r w:rsidR="00EB5433" w:rsidRPr="00957FC0">
        <w:rPr>
          <w:rFonts w:asciiTheme="minorHAnsi" w:hAnsiTheme="minorHAnsi"/>
          <w:i/>
        </w:rPr>
        <w:t xml:space="preserve"> </w:t>
      </w:r>
      <w:r w:rsidR="00EB5433">
        <w:rPr>
          <w:rFonts w:asciiTheme="minorHAnsi" w:hAnsiTheme="minorHAnsi"/>
          <w:i/>
        </w:rPr>
        <w:t xml:space="preserve">to cover all the relevant groups of drugs and drugs in your </w:t>
      </w:r>
      <w:r w:rsidR="008A343C">
        <w:rPr>
          <w:rFonts w:asciiTheme="minorHAnsi" w:hAnsiTheme="minorHAnsi"/>
          <w:i/>
        </w:rPr>
        <w:t>scope).</w:t>
      </w:r>
    </w:p>
    <w:p w14:paraId="32A753B4" w14:textId="56342678" w:rsidR="003B2381" w:rsidRDefault="003B2381" w:rsidP="003B2381">
      <w:pPr>
        <w:rPr>
          <w:rFonts w:asciiTheme="minorHAnsi" w:hAnsiTheme="minorHAnsi"/>
          <w:i/>
        </w:rPr>
      </w:pPr>
    </w:p>
    <w:p w14:paraId="1552C3F1" w14:textId="5DA8E0DE" w:rsidR="00EB5433" w:rsidRDefault="00EB5433" w:rsidP="00EB5433">
      <w:pPr>
        <w:rPr>
          <w:rFonts w:asciiTheme="minorHAnsi" w:hAnsiTheme="minorHAnsi"/>
          <w:u w:val="single"/>
        </w:rPr>
      </w:pPr>
      <w:r w:rsidRPr="009D3EA4">
        <w:rPr>
          <w:rFonts w:asciiTheme="minorHAnsi" w:hAnsiTheme="minorHAnsi"/>
          <w:u w:val="single"/>
        </w:rPr>
        <w:t>Drug group and individual agents:</w:t>
      </w:r>
    </w:p>
    <w:p w14:paraId="4598D77F" w14:textId="720A1837" w:rsidR="002143B5" w:rsidRDefault="002143B5" w:rsidP="00EB5433">
      <w:pPr>
        <w:rPr>
          <w:rFonts w:asciiTheme="minorHAnsi" w:hAnsiTheme="minorHAnsi"/>
          <w:u w:val="single"/>
        </w:rPr>
      </w:pPr>
    </w:p>
    <w:p w14:paraId="084FE0A5" w14:textId="57BDE52B" w:rsidR="002143B5" w:rsidRPr="002143B5" w:rsidRDefault="002143B5" w:rsidP="00EB5433">
      <w:pPr>
        <w:rPr>
          <w:rFonts w:asciiTheme="minorHAnsi" w:hAnsiTheme="minorHAnsi"/>
        </w:rPr>
      </w:pPr>
      <w:r>
        <w:rPr>
          <w:rFonts w:asciiTheme="minorHAnsi" w:hAnsiTheme="minorHAnsi"/>
        </w:rPr>
        <w:t>ICS</w:t>
      </w:r>
    </w:p>
    <w:p w14:paraId="29B4BA10" w14:textId="12E6C202" w:rsidR="00EB5433" w:rsidRPr="009D3EA4" w:rsidRDefault="00EB5433" w:rsidP="003B2381">
      <w:pPr>
        <w:rPr>
          <w:rFonts w:asciiTheme="minorHAnsi" w:hAnsiTheme="minorHAnsi"/>
          <w:i/>
          <w:u w:val="single"/>
        </w:rPr>
      </w:pPr>
    </w:p>
    <w:p w14:paraId="39AD76C2" w14:textId="39667377" w:rsidR="00EB5433" w:rsidRDefault="00EB5433" w:rsidP="003B2381">
      <w:pPr>
        <w:rPr>
          <w:rFonts w:asciiTheme="minorHAnsi" w:hAnsiTheme="minorHAnsi"/>
          <w:u w:val="single"/>
        </w:rPr>
      </w:pPr>
      <w:r w:rsidRPr="009D3EA4">
        <w:rPr>
          <w:rFonts w:asciiTheme="minorHAnsi" w:hAnsiTheme="minorHAnsi"/>
          <w:u w:val="single"/>
        </w:rPr>
        <w:t>Examination skills and professional resources required:</w:t>
      </w:r>
    </w:p>
    <w:p w14:paraId="1261CEE1" w14:textId="4D4A5B5D" w:rsidR="002143B5" w:rsidRPr="002143B5" w:rsidRDefault="002143B5" w:rsidP="002143B5">
      <w:pPr>
        <w:pStyle w:val="ListParagraph"/>
        <w:rPr>
          <w:rFonts w:asciiTheme="minorHAnsi" w:hAnsiTheme="minorHAnsi"/>
          <w:u w:val="single"/>
        </w:rPr>
      </w:pPr>
    </w:p>
    <w:p w14:paraId="684EB7E6" w14:textId="77777777" w:rsidR="002143B5" w:rsidRPr="002143B5" w:rsidRDefault="002143B5" w:rsidP="002143B5">
      <w:pPr>
        <w:pStyle w:val="ListParagraph"/>
        <w:numPr>
          <w:ilvl w:val="0"/>
          <w:numId w:val="18"/>
        </w:numPr>
        <w:jc w:val="both"/>
        <w:rPr>
          <w:rFonts w:asciiTheme="minorHAnsi" w:hAnsiTheme="minorHAnsi" w:cs="Calibri"/>
        </w:rPr>
      </w:pPr>
      <w:r w:rsidRPr="002143B5">
        <w:rPr>
          <w:rFonts w:asciiTheme="minorHAnsi" w:hAnsiTheme="minorHAnsi" w:cs="Calibri"/>
        </w:rPr>
        <w:t>Spirometry</w:t>
      </w:r>
    </w:p>
    <w:p w14:paraId="2EF1D071" w14:textId="77777777" w:rsidR="002143B5" w:rsidRPr="002143B5" w:rsidRDefault="002143B5" w:rsidP="002143B5">
      <w:pPr>
        <w:pStyle w:val="ListParagraph"/>
        <w:numPr>
          <w:ilvl w:val="0"/>
          <w:numId w:val="18"/>
        </w:numPr>
        <w:jc w:val="both"/>
        <w:rPr>
          <w:rFonts w:asciiTheme="minorHAnsi" w:hAnsiTheme="minorHAnsi" w:cs="Calibri"/>
        </w:rPr>
      </w:pPr>
      <w:r w:rsidRPr="002143B5">
        <w:rPr>
          <w:rFonts w:asciiTheme="minorHAnsi" w:hAnsiTheme="minorHAnsi" w:cs="Calibri"/>
        </w:rPr>
        <w:t>Inhaler Technique</w:t>
      </w:r>
    </w:p>
    <w:p w14:paraId="0DED0C87" w14:textId="4B9B4941" w:rsidR="002143B5" w:rsidRPr="002143B5" w:rsidRDefault="002143B5" w:rsidP="002143B5">
      <w:pPr>
        <w:pStyle w:val="ListParagraph"/>
        <w:numPr>
          <w:ilvl w:val="0"/>
          <w:numId w:val="18"/>
        </w:numPr>
        <w:jc w:val="both"/>
        <w:rPr>
          <w:rFonts w:asciiTheme="minorHAnsi" w:hAnsiTheme="minorHAnsi" w:cs="Calibri"/>
        </w:rPr>
      </w:pPr>
      <w:r w:rsidRPr="002143B5">
        <w:rPr>
          <w:rFonts w:asciiTheme="minorHAnsi" w:hAnsiTheme="minorHAnsi" w:cs="Calibri"/>
        </w:rPr>
        <w:t>Patient history:</w:t>
      </w:r>
      <w:r>
        <w:rPr>
          <w:rFonts w:asciiTheme="minorHAnsi" w:hAnsiTheme="minorHAnsi" w:cs="Calibri"/>
        </w:rPr>
        <w:t xml:space="preserve"> e</w:t>
      </w:r>
      <w:r w:rsidRPr="002143B5">
        <w:rPr>
          <w:rFonts w:asciiTheme="minorHAnsi" w:hAnsiTheme="minorHAnsi" w:cs="Calibri"/>
        </w:rPr>
        <w:t>xacerbations, SOB, control as defines by BTS. Peak flow is rarely needed except in simple cases as other than seasonal progression or ICS action, this does not give accurate diagnosis (most commonly just improved technique for the peak flow meter).</w:t>
      </w:r>
    </w:p>
    <w:p w14:paraId="389FDF85" w14:textId="5A063E3B" w:rsidR="002143B5" w:rsidRPr="002143B5" w:rsidRDefault="002143B5" w:rsidP="002143B5">
      <w:pPr>
        <w:pStyle w:val="ListParagraph"/>
        <w:numPr>
          <w:ilvl w:val="0"/>
          <w:numId w:val="18"/>
        </w:numPr>
        <w:jc w:val="both"/>
        <w:rPr>
          <w:rFonts w:asciiTheme="minorHAnsi" w:hAnsiTheme="minorHAnsi"/>
          <w:u w:val="single"/>
        </w:rPr>
      </w:pPr>
      <w:r w:rsidRPr="002143B5">
        <w:rPr>
          <w:rFonts w:asciiTheme="minorHAnsi" w:hAnsiTheme="minorHAnsi" w:cs="Calibri"/>
        </w:rPr>
        <w:t>Oximeter should also be used, especially in patients showing some level of obstruction (determined from spirometry results). Useful in all patients as the test is quick and simple.</w:t>
      </w:r>
    </w:p>
    <w:p w14:paraId="12B94C2E" w14:textId="5E53FC45" w:rsidR="00EB5433" w:rsidRPr="009D3EA4" w:rsidRDefault="00EB5433" w:rsidP="003B2381">
      <w:pPr>
        <w:rPr>
          <w:rFonts w:asciiTheme="minorHAnsi" w:hAnsiTheme="minorHAnsi"/>
          <w:i/>
          <w:u w:val="single"/>
        </w:rPr>
      </w:pPr>
    </w:p>
    <w:p w14:paraId="5BC6A473" w14:textId="6E9FAC9C" w:rsidR="00EB5433" w:rsidRPr="009D3EA4" w:rsidRDefault="00EB5433" w:rsidP="00EB5433">
      <w:pPr>
        <w:rPr>
          <w:rFonts w:asciiTheme="minorHAnsi" w:hAnsiTheme="minorHAnsi"/>
          <w:u w:val="single"/>
        </w:rPr>
      </w:pPr>
      <w:r w:rsidRPr="009D3EA4">
        <w:rPr>
          <w:rFonts w:asciiTheme="minorHAnsi" w:hAnsiTheme="minorHAnsi"/>
          <w:u w:val="single"/>
        </w:rPr>
        <w:t>Parameters that need monitoring e.g. plasma levels:</w:t>
      </w:r>
    </w:p>
    <w:p w14:paraId="5701D4BB" w14:textId="77777777" w:rsidR="00EB5433" w:rsidRDefault="00EB5433" w:rsidP="003B2381">
      <w:pPr>
        <w:rPr>
          <w:rFonts w:asciiTheme="minorHAnsi" w:hAnsiTheme="minorHAnsi"/>
          <w:i/>
        </w:rPr>
      </w:pPr>
    </w:p>
    <w:p w14:paraId="1A39BD5B" w14:textId="2B80AFCC" w:rsidR="002143B5" w:rsidRPr="002143B5" w:rsidRDefault="002143B5" w:rsidP="002143B5">
      <w:pPr>
        <w:pStyle w:val="ListParagraph"/>
        <w:numPr>
          <w:ilvl w:val="0"/>
          <w:numId w:val="19"/>
        </w:numPr>
        <w:jc w:val="both"/>
        <w:rPr>
          <w:rFonts w:asciiTheme="minorHAnsi" w:hAnsiTheme="minorHAnsi" w:cs="Calibri"/>
        </w:rPr>
      </w:pPr>
      <w:r w:rsidRPr="002143B5">
        <w:rPr>
          <w:rFonts w:asciiTheme="minorHAnsi" w:hAnsiTheme="minorHAnsi" w:cs="Calibri"/>
        </w:rPr>
        <w:t>Patient history is most important, rather than treating numbers. Spirometry can show where problems arise and worsen over time and can also give a good indication or reversibility or any signs or obstructions (which can happen in asthmatics, especially those who are affected into late adulthood).</w:t>
      </w:r>
    </w:p>
    <w:p w14:paraId="19344EE1" w14:textId="6E62B7AB" w:rsidR="002143B5" w:rsidRPr="002143B5" w:rsidRDefault="002143B5" w:rsidP="002143B5">
      <w:pPr>
        <w:pStyle w:val="ListParagraph"/>
        <w:numPr>
          <w:ilvl w:val="0"/>
          <w:numId w:val="19"/>
        </w:numPr>
        <w:jc w:val="both"/>
        <w:rPr>
          <w:rFonts w:asciiTheme="minorHAnsi" w:hAnsiTheme="minorHAnsi" w:cs="Calibri"/>
        </w:rPr>
      </w:pPr>
      <w:r w:rsidRPr="002143B5">
        <w:rPr>
          <w:rFonts w:asciiTheme="minorHAnsi" w:hAnsiTheme="minorHAnsi" w:cs="Calibri"/>
        </w:rPr>
        <w:t>For patients on long term ICS, bone density may be monitored (especially in older patients).</w:t>
      </w:r>
    </w:p>
    <w:p w14:paraId="7A5B370D" w14:textId="7C1E036C" w:rsidR="002143B5" w:rsidRPr="002143B5" w:rsidRDefault="002143B5" w:rsidP="002143B5">
      <w:pPr>
        <w:pStyle w:val="ListParagraph"/>
        <w:numPr>
          <w:ilvl w:val="0"/>
          <w:numId w:val="19"/>
        </w:numPr>
        <w:jc w:val="both"/>
        <w:rPr>
          <w:rFonts w:asciiTheme="minorHAnsi" w:hAnsiTheme="minorHAnsi" w:cs="Calibri"/>
        </w:rPr>
      </w:pPr>
      <w:r w:rsidRPr="002143B5">
        <w:rPr>
          <w:rFonts w:asciiTheme="minorHAnsi" w:hAnsiTheme="minorHAnsi" w:cs="Calibri"/>
        </w:rPr>
        <w:t>Forced expiratory volume in 1 second – FEV1</w:t>
      </w:r>
    </w:p>
    <w:p w14:paraId="1A0B4B8A" w14:textId="7AF2DFEA" w:rsidR="002143B5" w:rsidRPr="002143B5" w:rsidRDefault="002143B5" w:rsidP="002143B5">
      <w:pPr>
        <w:pStyle w:val="ListParagraph"/>
        <w:numPr>
          <w:ilvl w:val="0"/>
          <w:numId w:val="19"/>
        </w:numPr>
        <w:jc w:val="both"/>
        <w:rPr>
          <w:rFonts w:asciiTheme="minorHAnsi" w:hAnsiTheme="minorHAnsi" w:cs="Calibri"/>
        </w:rPr>
      </w:pPr>
      <w:r w:rsidRPr="002143B5">
        <w:rPr>
          <w:rFonts w:asciiTheme="minorHAnsi" w:hAnsiTheme="minorHAnsi" w:cs="Calibri"/>
        </w:rPr>
        <w:t>Forced vital capacity – FVC</w:t>
      </w:r>
    </w:p>
    <w:p w14:paraId="2AA4DE4D" w14:textId="396056D2" w:rsidR="002143B5" w:rsidRPr="002143B5" w:rsidRDefault="002143B5" w:rsidP="002143B5">
      <w:pPr>
        <w:pStyle w:val="ListParagraph"/>
        <w:numPr>
          <w:ilvl w:val="0"/>
          <w:numId w:val="19"/>
        </w:numPr>
        <w:jc w:val="both"/>
        <w:rPr>
          <w:rFonts w:asciiTheme="minorHAnsi" w:hAnsiTheme="minorHAnsi" w:cs="Calibri"/>
        </w:rPr>
      </w:pPr>
      <w:r w:rsidRPr="002143B5">
        <w:rPr>
          <w:rFonts w:asciiTheme="minorHAnsi" w:hAnsiTheme="minorHAnsi" w:cs="Calibri"/>
        </w:rPr>
        <w:t>Vital capacity – VC</w:t>
      </w:r>
    </w:p>
    <w:p w14:paraId="6343CE13" w14:textId="6E841CD5" w:rsidR="002143B5" w:rsidRPr="002143B5" w:rsidRDefault="002143B5" w:rsidP="002143B5">
      <w:pPr>
        <w:pStyle w:val="ListParagraph"/>
        <w:numPr>
          <w:ilvl w:val="0"/>
          <w:numId w:val="19"/>
        </w:numPr>
        <w:jc w:val="both"/>
        <w:rPr>
          <w:rFonts w:asciiTheme="minorHAnsi" w:hAnsiTheme="minorHAnsi" w:cs="Calibri"/>
        </w:rPr>
      </w:pPr>
      <w:r w:rsidRPr="002143B5">
        <w:rPr>
          <w:rFonts w:asciiTheme="minorHAnsi" w:hAnsiTheme="minorHAnsi" w:cs="Calibri"/>
        </w:rPr>
        <w:t>Ratios of FEV</w:t>
      </w:r>
      <w:proofErr w:type="gramStart"/>
      <w:r w:rsidRPr="002143B5">
        <w:rPr>
          <w:rFonts w:asciiTheme="minorHAnsi" w:hAnsiTheme="minorHAnsi" w:cs="Calibri"/>
        </w:rPr>
        <w:t>1:FVC</w:t>
      </w:r>
      <w:proofErr w:type="gramEnd"/>
      <w:r w:rsidRPr="002143B5">
        <w:rPr>
          <w:rFonts w:asciiTheme="minorHAnsi" w:hAnsiTheme="minorHAnsi" w:cs="Calibri"/>
        </w:rPr>
        <w:t xml:space="preserve"> and FEV1:VC – depending on condition, age etc.</w:t>
      </w:r>
    </w:p>
    <w:p w14:paraId="77EEB7EC" w14:textId="78E9C2EF" w:rsidR="002143B5" w:rsidRPr="002143B5" w:rsidRDefault="002143B5" w:rsidP="002143B5">
      <w:pPr>
        <w:pStyle w:val="ListParagraph"/>
        <w:numPr>
          <w:ilvl w:val="0"/>
          <w:numId w:val="19"/>
        </w:numPr>
        <w:jc w:val="both"/>
        <w:rPr>
          <w:rFonts w:asciiTheme="minorHAnsi" w:hAnsiTheme="minorHAnsi" w:cs="Calibri"/>
        </w:rPr>
      </w:pPr>
      <w:r w:rsidRPr="002143B5">
        <w:rPr>
          <w:rFonts w:asciiTheme="minorHAnsi" w:hAnsiTheme="minorHAnsi" w:cs="Calibri"/>
        </w:rPr>
        <w:t>All these can be repeated post SABA for reversibility testing.</w:t>
      </w:r>
    </w:p>
    <w:p w14:paraId="1057B039" w14:textId="1C12CF6C" w:rsidR="00EB5433" w:rsidRPr="002143B5" w:rsidRDefault="002143B5" w:rsidP="002143B5">
      <w:pPr>
        <w:pStyle w:val="ListParagraph"/>
        <w:numPr>
          <w:ilvl w:val="0"/>
          <w:numId w:val="19"/>
        </w:numPr>
        <w:jc w:val="both"/>
        <w:rPr>
          <w:rFonts w:asciiTheme="minorHAnsi" w:hAnsiTheme="minorHAnsi"/>
        </w:rPr>
      </w:pPr>
      <w:r w:rsidRPr="002143B5">
        <w:rPr>
          <w:rFonts w:asciiTheme="minorHAnsi" w:hAnsiTheme="minorHAnsi" w:cs="Calibri"/>
        </w:rPr>
        <w:t>Saturated oxygen tests – SATS (94-98% normal range). Less than 92% suggests hypoxemia and requires same day referral and continued monitoring. Less than 88% requires immediate emergency referral and action (e.g. domiciliary oxygen).</w:t>
      </w:r>
    </w:p>
    <w:p w14:paraId="721224AC" w14:textId="0B235DAD" w:rsidR="00EE48C4" w:rsidRPr="00F11B48" w:rsidRDefault="003B2381" w:rsidP="00EE48C4">
      <w:pPr>
        <w:rPr>
          <w:rFonts w:asciiTheme="minorHAnsi" w:hAnsiTheme="minorHAnsi"/>
          <w:b/>
        </w:rPr>
      </w:pPr>
      <w:bookmarkStart w:id="2" w:name="_GoBack"/>
      <w:bookmarkEnd w:id="2"/>
      <w:r>
        <w:rPr>
          <w:rFonts w:asciiTheme="minorHAnsi" w:hAnsiTheme="minorHAnsi"/>
          <w:b/>
        </w:rPr>
        <w:lastRenderedPageBreak/>
        <w:t>Appendix 1: U</w:t>
      </w:r>
      <w:r w:rsidR="0011592B" w:rsidRPr="00F11B48">
        <w:rPr>
          <w:rFonts w:asciiTheme="minorHAnsi" w:hAnsiTheme="minorHAnsi"/>
          <w:b/>
        </w:rPr>
        <w:t>seful links</w:t>
      </w:r>
    </w:p>
    <w:p w14:paraId="3D15C1E3" w14:textId="77777777" w:rsidR="00EE48C4" w:rsidRPr="00F11B48" w:rsidRDefault="00EE48C4" w:rsidP="00EE48C4">
      <w:pPr>
        <w:rPr>
          <w:rFonts w:asciiTheme="minorHAnsi" w:hAnsiTheme="minorHAnsi"/>
        </w:rPr>
      </w:pPr>
    </w:p>
    <w:p w14:paraId="06BBEE6C" w14:textId="77777777" w:rsidR="00EE48C4" w:rsidRPr="00F11B48" w:rsidRDefault="00EE48C4" w:rsidP="00EE48C4">
      <w:pPr>
        <w:rPr>
          <w:rFonts w:asciiTheme="minorHAnsi" w:hAnsiTheme="minorHAnsi"/>
        </w:rPr>
      </w:pPr>
    </w:p>
    <w:tbl>
      <w:tblPr>
        <w:tblStyle w:val="TableGrid"/>
        <w:tblW w:w="0" w:type="auto"/>
        <w:tblLook w:val="01E0" w:firstRow="1" w:lastRow="1" w:firstColumn="1" w:lastColumn="1" w:noHBand="0" w:noVBand="0"/>
      </w:tblPr>
      <w:tblGrid>
        <w:gridCol w:w="4177"/>
        <w:gridCol w:w="4119"/>
      </w:tblGrid>
      <w:tr w:rsidR="003068F2" w:rsidRPr="00F11B48" w14:paraId="3B9C3CED" w14:textId="77777777" w:rsidTr="008523CC">
        <w:tc>
          <w:tcPr>
            <w:tcW w:w="4177" w:type="dxa"/>
          </w:tcPr>
          <w:p w14:paraId="6E0DE87E" w14:textId="77777777" w:rsidR="003068F2" w:rsidRPr="00F11B48" w:rsidRDefault="00366432" w:rsidP="004556FF">
            <w:pPr>
              <w:rPr>
                <w:rFonts w:asciiTheme="minorHAnsi" w:hAnsiTheme="minorHAnsi"/>
              </w:rPr>
            </w:pPr>
            <w:hyperlink r:id="rId16" w:history="1">
              <w:r w:rsidR="003068F2" w:rsidRPr="00F11B48">
                <w:rPr>
                  <w:rStyle w:val="Hyperlink"/>
                  <w:rFonts w:asciiTheme="minorHAnsi" w:hAnsiTheme="minorHAnsi"/>
                </w:rPr>
                <w:t>http://www.bmj.com</w:t>
              </w:r>
            </w:hyperlink>
          </w:p>
        </w:tc>
        <w:tc>
          <w:tcPr>
            <w:tcW w:w="4119" w:type="dxa"/>
          </w:tcPr>
          <w:p w14:paraId="269D1FDD" w14:textId="77777777" w:rsidR="003068F2" w:rsidRPr="00F11B48" w:rsidRDefault="003068F2" w:rsidP="004556FF">
            <w:pPr>
              <w:ind w:left="360"/>
              <w:rPr>
                <w:rFonts w:asciiTheme="minorHAnsi" w:hAnsiTheme="minorHAnsi"/>
              </w:rPr>
            </w:pPr>
            <w:r w:rsidRPr="00F11B48">
              <w:rPr>
                <w:rFonts w:asciiTheme="minorHAnsi" w:hAnsiTheme="minorHAnsi"/>
              </w:rPr>
              <w:t xml:space="preserve">British Medical journal </w:t>
            </w:r>
          </w:p>
          <w:p w14:paraId="74DC1EF3" w14:textId="77777777" w:rsidR="003068F2" w:rsidRPr="00F11B48" w:rsidRDefault="003068F2" w:rsidP="004556FF">
            <w:pPr>
              <w:rPr>
                <w:rFonts w:asciiTheme="minorHAnsi" w:hAnsiTheme="minorHAnsi"/>
              </w:rPr>
            </w:pPr>
          </w:p>
        </w:tc>
      </w:tr>
      <w:tr w:rsidR="003068F2" w:rsidRPr="00F11B48" w14:paraId="48D64CF4" w14:textId="77777777" w:rsidTr="008523CC">
        <w:tc>
          <w:tcPr>
            <w:tcW w:w="4177" w:type="dxa"/>
          </w:tcPr>
          <w:p w14:paraId="73DA1242" w14:textId="77777777" w:rsidR="003068F2" w:rsidRPr="00F11B48" w:rsidRDefault="00366432" w:rsidP="004556FF">
            <w:pPr>
              <w:rPr>
                <w:rFonts w:asciiTheme="minorHAnsi" w:hAnsiTheme="minorHAnsi"/>
              </w:rPr>
            </w:pPr>
            <w:hyperlink r:id="rId17" w:history="1">
              <w:r w:rsidR="003068F2" w:rsidRPr="00F11B48">
                <w:rPr>
                  <w:rStyle w:val="Hyperlink"/>
                  <w:rFonts w:asciiTheme="minorHAnsi" w:hAnsiTheme="minorHAnsi"/>
                </w:rPr>
                <w:t>http://www.clinicalevidence.org</w:t>
              </w:r>
            </w:hyperlink>
          </w:p>
        </w:tc>
        <w:tc>
          <w:tcPr>
            <w:tcW w:w="4119" w:type="dxa"/>
          </w:tcPr>
          <w:p w14:paraId="0FFB56BB" w14:textId="77777777" w:rsidR="003068F2" w:rsidRPr="00F11B48" w:rsidRDefault="003068F2" w:rsidP="004556FF">
            <w:pPr>
              <w:ind w:left="360"/>
              <w:rPr>
                <w:rFonts w:asciiTheme="minorHAnsi" w:hAnsiTheme="minorHAnsi"/>
              </w:rPr>
            </w:pPr>
            <w:r w:rsidRPr="00F11B48">
              <w:rPr>
                <w:rFonts w:asciiTheme="minorHAnsi" w:hAnsiTheme="minorHAnsi"/>
              </w:rPr>
              <w:t>Clinical Evidence – Excellent site from BMJ Journals with useful links to most evidence based sites in the world</w:t>
            </w:r>
          </w:p>
          <w:p w14:paraId="383AF503" w14:textId="77777777" w:rsidR="003068F2" w:rsidRPr="00F11B48" w:rsidRDefault="003068F2" w:rsidP="004556FF">
            <w:pPr>
              <w:rPr>
                <w:rFonts w:asciiTheme="minorHAnsi" w:hAnsiTheme="minorHAnsi"/>
              </w:rPr>
            </w:pPr>
          </w:p>
        </w:tc>
      </w:tr>
      <w:tr w:rsidR="003068F2" w:rsidRPr="00F11B48" w14:paraId="1A8D1545" w14:textId="77777777" w:rsidTr="008523CC">
        <w:tc>
          <w:tcPr>
            <w:tcW w:w="4177" w:type="dxa"/>
          </w:tcPr>
          <w:p w14:paraId="3E174BE0" w14:textId="77777777" w:rsidR="003068F2" w:rsidRPr="00F11B48" w:rsidRDefault="00366432" w:rsidP="004556FF">
            <w:pPr>
              <w:rPr>
                <w:rFonts w:asciiTheme="minorHAnsi" w:hAnsiTheme="minorHAnsi"/>
              </w:rPr>
            </w:pPr>
            <w:hyperlink r:id="rId18" w:history="1">
              <w:r w:rsidR="003068F2" w:rsidRPr="00F11B48">
                <w:rPr>
                  <w:rStyle w:val="Hyperlink"/>
                  <w:rFonts w:asciiTheme="minorHAnsi" w:hAnsiTheme="minorHAnsi"/>
                </w:rPr>
                <w:t>http://www.medscape.com</w:t>
              </w:r>
            </w:hyperlink>
          </w:p>
        </w:tc>
        <w:tc>
          <w:tcPr>
            <w:tcW w:w="4119" w:type="dxa"/>
          </w:tcPr>
          <w:p w14:paraId="1EC696E3" w14:textId="77777777" w:rsidR="003068F2" w:rsidRPr="00F11B48" w:rsidRDefault="003068F2" w:rsidP="004556FF">
            <w:pPr>
              <w:ind w:left="360"/>
              <w:rPr>
                <w:rFonts w:asciiTheme="minorHAnsi" w:hAnsiTheme="minorHAnsi"/>
              </w:rPr>
            </w:pPr>
            <w:r w:rsidRPr="00F11B48">
              <w:rPr>
                <w:rFonts w:asciiTheme="minorHAnsi" w:hAnsiTheme="minorHAnsi"/>
              </w:rPr>
              <w:t>Medscape –This provides pharmacists and other healthcare professionals access to up to date clinical information, news and continuing education material.  (Free following registration).</w:t>
            </w:r>
          </w:p>
          <w:p w14:paraId="43973305" w14:textId="77777777" w:rsidR="003068F2" w:rsidRPr="00F11B48" w:rsidRDefault="003068F2" w:rsidP="004556FF">
            <w:pPr>
              <w:rPr>
                <w:rFonts w:asciiTheme="minorHAnsi" w:hAnsiTheme="minorHAnsi"/>
              </w:rPr>
            </w:pPr>
          </w:p>
        </w:tc>
      </w:tr>
      <w:tr w:rsidR="003068F2" w:rsidRPr="00F11B48" w14:paraId="719A800F" w14:textId="77777777" w:rsidTr="008523CC">
        <w:tc>
          <w:tcPr>
            <w:tcW w:w="4177" w:type="dxa"/>
          </w:tcPr>
          <w:p w14:paraId="3175B25D" w14:textId="50E6E90C" w:rsidR="003068F2" w:rsidRPr="00F11B48" w:rsidRDefault="00366432" w:rsidP="004556FF">
            <w:pPr>
              <w:rPr>
                <w:rFonts w:asciiTheme="minorHAnsi" w:hAnsiTheme="minorHAnsi"/>
              </w:rPr>
            </w:pPr>
            <w:hyperlink r:id="rId19" w:history="1">
              <w:r w:rsidR="003068F2" w:rsidRPr="00F11B48">
                <w:rPr>
                  <w:rStyle w:val="Hyperlink"/>
                  <w:rFonts w:asciiTheme="minorHAnsi" w:hAnsiTheme="minorHAnsi"/>
                </w:rPr>
                <w:t>http://www.sign.ac.uk</w:t>
              </w:r>
            </w:hyperlink>
          </w:p>
        </w:tc>
        <w:tc>
          <w:tcPr>
            <w:tcW w:w="4119" w:type="dxa"/>
          </w:tcPr>
          <w:p w14:paraId="0B485967" w14:textId="77777777" w:rsidR="003068F2" w:rsidRPr="00F11B48" w:rsidRDefault="003068F2" w:rsidP="004556FF">
            <w:pPr>
              <w:ind w:left="360"/>
              <w:rPr>
                <w:rFonts w:asciiTheme="minorHAnsi" w:hAnsiTheme="minorHAnsi"/>
              </w:rPr>
            </w:pPr>
            <w:r w:rsidRPr="00F11B48">
              <w:rPr>
                <w:rFonts w:asciiTheme="minorHAnsi" w:hAnsiTheme="minorHAnsi"/>
              </w:rPr>
              <w:t>Scottish Intercollegiate Guidelines Network (SIGN) Various clinical guidelines</w:t>
            </w:r>
          </w:p>
        </w:tc>
      </w:tr>
      <w:tr w:rsidR="003068F2" w:rsidRPr="00F11B48" w14:paraId="311C810C" w14:textId="77777777" w:rsidTr="008523CC">
        <w:tc>
          <w:tcPr>
            <w:tcW w:w="4177" w:type="dxa"/>
          </w:tcPr>
          <w:p w14:paraId="4F2FAFC4" w14:textId="77777777" w:rsidR="003068F2" w:rsidRPr="00F11B48" w:rsidRDefault="00366432" w:rsidP="004556FF">
            <w:pPr>
              <w:rPr>
                <w:rFonts w:asciiTheme="minorHAnsi" w:hAnsiTheme="minorHAnsi"/>
              </w:rPr>
            </w:pPr>
            <w:hyperlink r:id="rId20" w:history="1">
              <w:r w:rsidR="003068F2" w:rsidRPr="00F11B48">
                <w:rPr>
                  <w:rStyle w:val="Hyperlink"/>
                  <w:rFonts w:asciiTheme="minorHAnsi" w:hAnsiTheme="minorHAnsi"/>
                </w:rPr>
                <w:t>http://nice.org.uk</w:t>
              </w:r>
            </w:hyperlink>
          </w:p>
        </w:tc>
        <w:tc>
          <w:tcPr>
            <w:tcW w:w="4119" w:type="dxa"/>
          </w:tcPr>
          <w:p w14:paraId="7376D6D4" w14:textId="77777777" w:rsidR="003068F2" w:rsidRPr="00F11B48" w:rsidRDefault="003068F2" w:rsidP="004556FF">
            <w:pPr>
              <w:ind w:left="360"/>
              <w:rPr>
                <w:rFonts w:asciiTheme="minorHAnsi" w:hAnsiTheme="minorHAnsi"/>
              </w:rPr>
            </w:pPr>
            <w:r w:rsidRPr="00F11B48">
              <w:rPr>
                <w:rFonts w:asciiTheme="minorHAnsi" w:hAnsiTheme="minorHAnsi"/>
              </w:rPr>
              <w:t>National Institute for Clinical Excellence (NICE) –Technology appraisals and guidance issued for NHS implementation in England and Wales</w:t>
            </w:r>
          </w:p>
        </w:tc>
      </w:tr>
      <w:tr w:rsidR="003068F2" w:rsidRPr="00F11B48" w14:paraId="059B4B7B" w14:textId="77777777" w:rsidTr="008523CC">
        <w:tc>
          <w:tcPr>
            <w:tcW w:w="4177" w:type="dxa"/>
          </w:tcPr>
          <w:p w14:paraId="3A7472BE" w14:textId="77777777" w:rsidR="003068F2" w:rsidRPr="00F11B48" w:rsidRDefault="003068F2" w:rsidP="004556FF">
            <w:pPr>
              <w:rPr>
                <w:rFonts w:asciiTheme="minorHAnsi" w:hAnsiTheme="minorHAnsi"/>
              </w:rPr>
            </w:pPr>
            <w:r w:rsidRPr="00F11B48">
              <w:rPr>
                <w:rFonts w:asciiTheme="minorHAnsi" w:hAnsiTheme="minorHAnsi"/>
              </w:rPr>
              <w:t xml:space="preserve"> </w:t>
            </w:r>
            <w:hyperlink r:id="rId21" w:history="1">
              <w:r w:rsidRPr="00F11B48">
                <w:rPr>
                  <w:rStyle w:val="Hyperlink"/>
                  <w:rFonts w:asciiTheme="minorHAnsi" w:hAnsiTheme="minorHAnsi"/>
                </w:rPr>
                <w:t>http://mtrac.co.uk</w:t>
              </w:r>
            </w:hyperlink>
          </w:p>
        </w:tc>
        <w:tc>
          <w:tcPr>
            <w:tcW w:w="4119" w:type="dxa"/>
          </w:tcPr>
          <w:p w14:paraId="2062B3E0" w14:textId="77777777" w:rsidR="003068F2" w:rsidRPr="00F11B48" w:rsidRDefault="003068F2" w:rsidP="004556FF">
            <w:pPr>
              <w:ind w:left="360"/>
              <w:rPr>
                <w:rFonts w:asciiTheme="minorHAnsi" w:hAnsiTheme="minorHAnsi"/>
              </w:rPr>
            </w:pPr>
            <w:r w:rsidRPr="00F11B48">
              <w:rPr>
                <w:rFonts w:asciiTheme="minorHAnsi" w:hAnsiTheme="minorHAnsi"/>
              </w:rPr>
              <w:t>Midland Therapeutic Review and Advisory Committee (MTRAC). Reviews of new drugs on the market</w:t>
            </w:r>
          </w:p>
        </w:tc>
      </w:tr>
      <w:tr w:rsidR="003068F2" w:rsidRPr="00F11B48" w14:paraId="2C5B8174" w14:textId="77777777" w:rsidTr="008523CC">
        <w:tc>
          <w:tcPr>
            <w:tcW w:w="4177" w:type="dxa"/>
          </w:tcPr>
          <w:p w14:paraId="3E911E08" w14:textId="7256F575" w:rsidR="003068F2" w:rsidRPr="00F11B48" w:rsidRDefault="00366432" w:rsidP="004556FF">
            <w:pPr>
              <w:rPr>
                <w:rFonts w:asciiTheme="minorHAnsi" w:hAnsiTheme="minorHAnsi"/>
              </w:rPr>
            </w:pPr>
            <w:hyperlink r:id="rId22" w:history="1">
              <w:r w:rsidR="003068F2" w:rsidRPr="00F11B48">
                <w:rPr>
                  <w:rStyle w:val="Hyperlink"/>
                  <w:rFonts w:asciiTheme="minorHAnsi" w:hAnsiTheme="minorHAnsi"/>
                </w:rPr>
                <w:t>http://eguidelines.co.uk</w:t>
              </w:r>
            </w:hyperlink>
          </w:p>
        </w:tc>
        <w:tc>
          <w:tcPr>
            <w:tcW w:w="4119" w:type="dxa"/>
          </w:tcPr>
          <w:p w14:paraId="603A0194" w14:textId="0D39C62E" w:rsidR="003068F2" w:rsidRPr="00F11B48" w:rsidRDefault="003068F2" w:rsidP="004556FF">
            <w:pPr>
              <w:ind w:left="360"/>
              <w:rPr>
                <w:rFonts w:asciiTheme="minorHAnsi" w:hAnsiTheme="minorHAnsi"/>
              </w:rPr>
            </w:pPr>
            <w:r w:rsidRPr="00F11B48">
              <w:rPr>
                <w:rFonts w:asciiTheme="minorHAnsi" w:hAnsiTheme="minorHAnsi"/>
              </w:rPr>
              <w:t xml:space="preserve">Guidelines </w:t>
            </w:r>
            <w:r w:rsidR="00EB5433">
              <w:rPr>
                <w:rFonts w:asciiTheme="minorHAnsi" w:hAnsiTheme="minorHAnsi"/>
              </w:rPr>
              <w:t>w</w:t>
            </w:r>
            <w:r w:rsidRPr="00F11B48">
              <w:rPr>
                <w:rFonts w:asciiTheme="minorHAnsi" w:hAnsiTheme="minorHAnsi"/>
              </w:rPr>
              <w:t xml:space="preserve">ill require you to register to get a user name and password the first time you access these guidelines from the publishers of </w:t>
            </w:r>
            <w:proofErr w:type="spellStart"/>
            <w:r w:rsidRPr="00F11B48">
              <w:rPr>
                <w:rFonts w:asciiTheme="minorHAnsi" w:hAnsiTheme="minorHAnsi"/>
              </w:rPr>
              <w:t>Medendium</w:t>
            </w:r>
            <w:proofErr w:type="spellEnd"/>
            <w:r w:rsidRPr="00F11B48">
              <w:rPr>
                <w:rFonts w:asciiTheme="minorHAnsi" w:hAnsiTheme="minorHAnsi"/>
              </w:rPr>
              <w:t>, Guidelines and Guidelines in Practice.  Organises NHS-commended guidelines by disease area and lists sources</w:t>
            </w:r>
          </w:p>
        </w:tc>
      </w:tr>
      <w:tr w:rsidR="003068F2" w:rsidRPr="00F11B48" w14:paraId="4014E8B1" w14:textId="77777777" w:rsidTr="008523CC">
        <w:tc>
          <w:tcPr>
            <w:tcW w:w="4177" w:type="dxa"/>
          </w:tcPr>
          <w:p w14:paraId="4D820E31" w14:textId="3D01EB44" w:rsidR="003068F2" w:rsidRPr="00F11B48" w:rsidRDefault="00366432" w:rsidP="003B2381">
            <w:pPr>
              <w:rPr>
                <w:rFonts w:asciiTheme="minorHAnsi" w:hAnsiTheme="minorHAnsi"/>
              </w:rPr>
            </w:pPr>
            <w:hyperlink r:id="rId23" w:history="1">
              <w:r w:rsidR="003068F2" w:rsidRPr="00F11B48">
                <w:rPr>
                  <w:rStyle w:val="Hyperlink"/>
                  <w:rFonts w:asciiTheme="minorHAnsi" w:hAnsiTheme="minorHAnsi"/>
                </w:rPr>
                <w:t>www.medicines.org.uk</w:t>
              </w:r>
            </w:hyperlink>
          </w:p>
        </w:tc>
        <w:tc>
          <w:tcPr>
            <w:tcW w:w="4119" w:type="dxa"/>
          </w:tcPr>
          <w:p w14:paraId="1167397B" w14:textId="77777777" w:rsidR="003068F2" w:rsidRPr="00F11B48" w:rsidRDefault="003068F2" w:rsidP="004556FF">
            <w:pPr>
              <w:ind w:left="360"/>
              <w:rPr>
                <w:rFonts w:asciiTheme="minorHAnsi" w:hAnsiTheme="minorHAnsi"/>
              </w:rPr>
            </w:pPr>
            <w:r w:rsidRPr="00F11B48">
              <w:rPr>
                <w:rFonts w:asciiTheme="minorHAnsi" w:hAnsiTheme="minorHAnsi"/>
              </w:rPr>
              <w:t>Electronic Medicines Compendium Allows access to Summaries of Product Characteristics and Patient Information Leaflets of licensed medicines available in the UK</w:t>
            </w:r>
          </w:p>
        </w:tc>
      </w:tr>
    </w:tbl>
    <w:p w14:paraId="39C762E0" w14:textId="77777777" w:rsidR="00EE48C4" w:rsidRPr="00F11B48" w:rsidRDefault="00EE48C4" w:rsidP="001E07CB">
      <w:pPr>
        <w:ind w:left="360"/>
        <w:rPr>
          <w:rFonts w:asciiTheme="minorHAnsi" w:hAnsiTheme="minorHAnsi"/>
        </w:rPr>
      </w:pPr>
    </w:p>
    <w:sectPr w:rsidR="00EE48C4" w:rsidRPr="00F11B48">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E71C1" w14:textId="77777777" w:rsidR="00366432" w:rsidRDefault="00366432" w:rsidP="0058686E">
      <w:r>
        <w:separator/>
      </w:r>
    </w:p>
  </w:endnote>
  <w:endnote w:type="continuationSeparator" w:id="0">
    <w:p w14:paraId="22EFCD6C" w14:textId="77777777" w:rsidR="00366432" w:rsidRDefault="00366432" w:rsidP="0058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28BA" w14:textId="7F667BA5" w:rsidR="0058686E" w:rsidRPr="0058686E" w:rsidRDefault="0058686E">
    <w:pPr>
      <w:pStyle w:val="Footer"/>
      <w:rPr>
        <w:rFonts w:asciiTheme="minorHAnsi" w:hAnsiTheme="minorHAnsi"/>
        <w:sz w:val="22"/>
        <w:szCs w:val="22"/>
      </w:rPr>
    </w:pPr>
    <w:r w:rsidRPr="0058686E">
      <w:rPr>
        <w:rFonts w:asciiTheme="minorHAnsi" w:hAnsiTheme="minorHAnsi"/>
        <w:sz w:val="22"/>
        <w:szCs w:val="22"/>
      </w:rPr>
      <w:t>Therapeutic Framework V</w:t>
    </w:r>
    <w:r w:rsidR="008A343C">
      <w:rPr>
        <w:rFonts w:asciiTheme="minorHAnsi" w:hAnsiTheme="minorHAnsi"/>
        <w:sz w:val="22"/>
        <w:szCs w:val="22"/>
      </w:rPr>
      <w:t>4. Example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E2DEC" w14:textId="77777777" w:rsidR="00366432" w:rsidRDefault="00366432" w:rsidP="0058686E">
      <w:r>
        <w:separator/>
      </w:r>
    </w:p>
  </w:footnote>
  <w:footnote w:type="continuationSeparator" w:id="0">
    <w:p w14:paraId="455FCAB3" w14:textId="77777777" w:rsidR="00366432" w:rsidRDefault="00366432" w:rsidP="0058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08A"/>
    <w:multiLevelType w:val="hybridMultilevel"/>
    <w:tmpl w:val="6B88D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C694E"/>
    <w:multiLevelType w:val="hybridMultilevel"/>
    <w:tmpl w:val="283027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92593"/>
    <w:multiLevelType w:val="hybridMultilevel"/>
    <w:tmpl w:val="3FDEA37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5548AA"/>
    <w:multiLevelType w:val="hybridMultilevel"/>
    <w:tmpl w:val="A85C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37B12"/>
    <w:multiLevelType w:val="hybridMultilevel"/>
    <w:tmpl w:val="6AC0E1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B1C7C54"/>
    <w:multiLevelType w:val="hybridMultilevel"/>
    <w:tmpl w:val="F5B48CB0"/>
    <w:lvl w:ilvl="0" w:tplc="D8D88CF6">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0046EA"/>
    <w:multiLevelType w:val="hybridMultilevel"/>
    <w:tmpl w:val="8274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032BE1"/>
    <w:multiLevelType w:val="hybridMultilevel"/>
    <w:tmpl w:val="A7143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02718C"/>
    <w:multiLevelType w:val="hybridMultilevel"/>
    <w:tmpl w:val="AC0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60909"/>
    <w:multiLevelType w:val="hybridMultilevel"/>
    <w:tmpl w:val="9B1AC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61F91"/>
    <w:multiLevelType w:val="hybridMultilevel"/>
    <w:tmpl w:val="DD327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86CCA"/>
    <w:multiLevelType w:val="hybridMultilevel"/>
    <w:tmpl w:val="9252B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260B56"/>
    <w:multiLevelType w:val="hybridMultilevel"/>
    <w:tmpl w:val="DD327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14E00"/>
    <w:multiLevelType w:val="hybridMultilevel"/>
    <w:tmpl w:val="A73E9596"/>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40B23ED"/>
    <w:multiLevelType w:val="hybridMultilevel"/>
    <w:tmpl w:val="D38AE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581A6E"/>
    <w:multiLevelType w:val="hybridMultilevel"/>
    <w:tmpl w:val="2612FDB0"/>
    <w:lvl w:ilvl="0" w:tplc="4C7E144C">
      <w:start w:val="1"/>
      <w:numFmt w:val="decimal"/>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5A5618"/>
    <w:multiLevelType w:val="hybridMultilevel"/>
    <w:tmpl w:val="FFF273E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77140A6A"/>
    <w:multiLevelType w:val="hybridMultilevel"/>
    <w:tmpl w:val="DB201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445B9A"/>
    <w:multiLevelType w:val="hybridMultilevel"/>
    <w:tmpl w:val="CDE41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2"/>
  </w:num>
  <w:num w:numId="4">
    <w:abstractNumId w:val="7"/>
  </w:num>
  <w:num w:numId="5">
    <w:abstractNumId w:val="5"/>
  </w:num>
  <w:num w:numId="6">
    <w:abstractNumId w:val="13"/>
  </w:num>
  <w:num w:numId="7">
    <w:abstractNumId w:val="15"/>
  </w:num>
  <w:num w:numId="8">
    <w:abstractNumId w:val="1"/>
  </w:num>
  <w:num w:numId="9">
    <w:abstractNumId w:val="10"/>
  </w:num>
  <w:num w:numId="10">
    <w:abstractNumId w:val="12"/>
  </w:num>
  <w:num w:numId="11">
    <w:abstractNumId w:val="17"/>
  </w:num>
  <w:num w:numId="12">
    <w:abstractNumId w:val="11"/>
  </w:num>
  <w:num w:numId="13">
    <w:abstractNumId w:val="9"/>
  </w:num>
  <w:num w:numId="14">
    <w:abstractNumId w:val="18"/>
  </w:num>
  <w:num w:numId="15">
    <w:abstractNumId w:val="14"/>
  </w:num>
  <w:num w:numId="16">
    <w:abstractNumId w:val="0"/>
  </w:num>
  <w:num w:numId="17">
    <w:abstractNumId w:val="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BC"/>
    <w:rsid w:val="000302F5"/>
    <w:rsid w:val="00074450"/>
    <w:rsid w:val="000858B9"/>
    <w:rsid w:val="000D151E"/>
    <w:rsid w:val="000D2E47"/>
    <w:rsid w:val="0011592B"/>
    <w:rsid w:val="00164922"/>
    <w:rsid w:val="00167010"/>
    <w:rsid w:val="001B12A8"/>
    <w:rsid w:val="001B150E"/>
    <w:rsid w:val="001E07CB"/>
    <w:rsid w:val="00213AE4"/>
    <w:rsid w:val="002143B5"/>
    <w:rsid w:val="00232186"/>
    <w:rsid w:val="00242A0A"/>
    <w:rsid w:val="00266B3F"/>
    <w:rsid w:val="002B3070"/>
    <w:rsid w:val="003068F2"/>
    <w:rsid w:val="003363C1"/>
    <w:rsid w:val="0035153E"/>
    <w:rsid w:val="00366432"/>
    <w:rsid w:val="003B2381"/>
    <w:rsid w:val="00465DE4"/>
    <w:rsid w:val="004A3DA1"/>
    <w:rsid w:val="0058686E"/>
    <w:rsid w:val="005F4E22"/>
    <w:rsid w:val="00606D92"/>
    <w:rsid w:val="00607B2B"/>
    <w:rsid w:val="006330AA"/>
    <w:rsid w:val="006C6692"/>
    <w:rsid w:val="006F76EE"/>
    <w:rsid w:val="00740B3A"/>
    <w:rsid w:val="00762071"/>
    <w:rsid w:val="0077191D"/>
    <w:rsid w:val="007E1C08"/>
    <w:rsid w:val="008523CC"/>
    <w:rsid w:val="008A343C"/>
    <w:rsid w:val="00907A61"/>
    <w:rsid w:val="009405B5"/>
    <w:rsid w:val="00953FF0"/>
    <w:rsid w:val="00954AF0"/>
    <w:rsid w:val="00957FC0"/>
    <w:rsid w:val="009B1EEF"/>
    <w:rsid w:val="009C5A58"/>
    <w:rsid w:val="009D3EA4"/>
    <w:rsid w:val="00A06C1B"/>
    <w:rsid w:val="00A11183"/>
    <w:rsid w:val="00A202AB"/>
    <w:rsid w:val="00A33149"/>
    <w:rsid w:val="00A52358"/>
    <w:rsid w:val="00A63ECD"/>
    <w:rsid w:val="00AD4985"/>
    <w:rsid w:val="00B90991"/>
    <w:rsid w:val="00B94899"/>
    <w:rsid w:val="00BA1153"/>
    <w:rsid w:val="00BA3DBC"/>
    <w:rsid w:val="00BB04DE"/>
    <w:rsid w:val="00BE1E97"/>
    <w:rsid w:val="00C31D55"/>
    <w:rsid w:val="00C3355E"/>
    <w:rsid w:val="00C7052E"/>
    <w:rsid w:val="00C77EAE"/>
    <w:rsid w:val="00CA78C3"/>
    <w:rsid w:val="00CC27B3"/>
    <w:rsid w:val="00CC36E2"/>
    <w:rsid w:val="00D47F9B"/>
    <w:rsid w:val="00D600F7"/>
    <w:rsid w:val="00D7627A"/>
    <w:rsid w:val="00D8498B"/>
    <w:rsid w:val="00D9064D"/>
    <w:rsid w:val="00E850B9"/>
    <w:rsid w:val="00EB0D3A"/>
    <w:rsid w:val="00EB5433"/>
    <w:rsid w:val="00EE48C4"/>
    <w:rsid w:val="00F03C53"/>
    <w:rsid w:val="00F04CA2"/>
    <w:rsid w:val="00F11B48"/>
    <w:rsid w:val="00F357C8"/>
    <w:rsid w:val="00F5289A"/>
    <w:rsid w:val="00F52961"/>
    <w:rsid w:val="00F53232"/>
    <w:rsid w:val="00FA292D"/>
    <w:rsid w:val="00FE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2C7A23"/>
  <w14:defaultImageDpi w14:val="32767"/>
  <w15:docId w15:val="{079F7E40-BEE7-4873-BA52-85D4349B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074450"/>
    <w:pPr>
      <w:keepNext/>
      <w:outlineLvl w:val="0"/>
    </w:pPr>
    <w:rPr>
      <w:rFonts w:ascii="Arial" w:hAnsi="Arial" w:cs="Arial"/>
      <w:b/>
      <w:bCs/>
      <w:sz w:val="20"/>
      <w:lang w:eastAsia="en-US"/>
    </w:rPr>
  </w:style>
  <w:style w:type="paragraph" w:styleId="Heading2">
    <w:name w:val="heading 2"/>
    <w:basedOn w:val="Normal"/>
    <w:next w:val="Normal"/>
    <w:qFormat/>
    <w:rsid w:val="00074450"/>
    <w:pPr>
      <w:keepNext/>
      <w:outlineLvl w:val="1"/>
    </w:pPr>
    <w:rPr>
      <w:rFonts w:ascii="Arial" w:hAnsi="Arial" w:cs="Arial"/>
      <w:b/>
      <w:bC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D55"/>
    <w:rPr>
      <w:color w:val="0000FF"/>
      <w:u w:val="single"/>
    </w:rPr>
  </w:style>
  <w:style w:type="character" w:styleId="FollowedHyperlink">
    <w:name w:val="FollowedHyperlink"/>
    <w:basedOn w:val="DefaultParagraphFont"/>
    <w:rsid w:val="00EB0D3A"/>
    <w:rPr>
      <w:color w:val="800080"/>
      <w:u w:val="single"/>
    </w:rPr>
  </w:style>
  <w:style w:type="paragraph" w:styleId="Title">
    <w:name w:val="Title"/>
    <w:basedOn w:val="Normal"/>
    <w:qFormat/>
    <w:rsid w:val="00074450"/>
    <w:pPr>
      <w:jc w:val="center"/>
    </w:pPr>
    <w:rPr>
      <w:rFonts w:ascii="Arial" w:hAnsi="Arial" w:cs="Arial"/>
      <w:b/>
      <w:bCs/>
      <w:lang w:eastAsia="en-US"/>
    </w:rPr>
  </w:style>
  <w:style w:type="paragraph" w:styleId="BodyText">
    <w:name w:val="Body Text"/>
    <w:basedOn w:val="Normal"/>
    <w:rsid w:val="00074450"/>
    <w:rPr>
      <w:rFonts w:ascii="Arial" w:hAnsi="Arial" w:cs="Arial"/>
      <w:sz w:val="20"/>
      <w:lang w:eastAsia="en-US"/>
    </w:rPr>
  </w:style>
  <w:style w:type="paragraph" w:styleId="ListParagraph">
    <w:name w:val="List Paragraph"/>
    <w:basedOn w:val="Normal"/>
    <w:uiPriority w:val="34"/>
    <w:qFormat/>
    <w:rsid w:val="003068F2"/>
    <w:pPr>
      <w:ind w:left="720"/>
      <w:contextualSpacing/>
    </w:pPr>
  </w:style>
  <w:style w:type="character" w:customStyle="1" w:styleId="tgc">
    <w:name w:val="_tgc"/>
    <w:basedOn w:val="DefaultParagraphFont"/>
    <w:rsid w:val="000858B9"/>
  </w:style>
  <w:style w:type="paragraph" w:styleId="Header">
    <w:name w:val="header"/>
    <w:basedOn w:val="Normal"/>
    <w:link w:val="HeaderChar"/>
    <w:uiPriority w:val="99"/>
    <w:unhideWhenUsed/>
    <w:rsid w:val="0058686E"/>
    <w:pPr>
      <w:tabs>
        <w:tab w:val="center" w:pos="4513"/>
        <w:tab w:val="right" w:pos="9026"/>
      </w:tabs>
    </w:pPr>
  </w:style>
  <w:style w:type="character" w:customStyle="1" w:styleId="HeaderChar">
    <w:name w:val="Header Char"/>
    <w:basedOn w:val="DefaultParagraphFont"/>
    <w:link w:val="Header"/>
    <w:uiPriority w:val="99"/>
    <w:rsid w:val="0058686E"/>
    <w:rPr>
      <w:sz w:val="24"/>
      <w:szCs w:val="24"/>
    </w:rPr>
  </w:style>
  <w:style w:type="paragraph" w:styleId="Footer">
    <w:name w:val="footer"/>
    <w:basedOn w:val="Normal"/>
    <w:link w:val="FooterChar"/>
    <w:uiPriority w:val="99"/>
    <w:unhideWhenUsed/>
    <w:rsid w:val="0058686E"/>
    <w:pPr>
      <w:tabs>
        <w:tab w:val="center" w:pos="4513"/>
        <w:tab w:val="right" w:pos="9026"/>
      </w:tabs>
    </w:pPr>
  </w:style>
  <w:style w:type="character" w:customStyle="1" w:styleId="FooterChar">
    <w:name w:val="Footer Char"/>
    <w:basedOn w:val="DefaultParagraphFont"/>
    <w:link w:val="Footer"/>
    <w:uiPriority w:val="99"/>
    <w:rsid w:val="0058686E"/>
    <w:rPr>
      <w:sz w:val="24"/>
      <w:szCs w:val="24"/>
    </w:rPr>
  </w:style>
  <w:style w:type="character" w:customStyle="1" w:styleId="apple-converted-space">
    <w:name w:val="apple-converted-space"/>
    <w:basedOn w:val="DefaultParagraphFont"/>
    <w:rsid w:val="00A2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edscape.com" TargetMode="External"/><Relationship Id="rId13" Type="http://schemas.openxmlformats.org/officeDocument/2006/relationships/hyperlink" Target="http://www.bloodref.com/myeloid/cml" TargetMode="External"/><Relationship Id="rId18" Type="http://schemas.openxmlformats.org/officeDocument/2006/relationships/hyperlink" Target="http://www.medscap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trac.co.uk" TargetMode="External"/><Relationship Id="rId7" Type="http://schemas.openxmlformats.org/officeDocument/2006/relationships/hyperlink" Target="http://renaldrugdatabase.com/" TargetMode="External"/><Relationship Id="rId12" Type="http://schemas.openxmlformats.org/officeDocument/2006/relationships/hyperlink" Target="http://evs.nci.nih.gov/ftp1/CTCAE/CTCAE_4.03_2010-06-14_QuickReference_8.5x11.pdf" TargetMode="External"/><Relationship Id="rId17" Type="http://schemas.openxmlformats.org/officeDocument/2006/relationships/hyperlink" Target="http://www.clinicalevidenc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mj.com" TargetMode="External"/><Relationship Id="rId20" Type="http://schemas.openxmlformats.org/officeDocument/2006/relationships/hyperlink" Target="http://ni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s-education.org/guidelines.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eal.educationforhealth.org/" TargetMode="External"/><Relationship Id="rId23" Type="http://schemas.openxmlformats.org/officeDocument/2006/relationships/hyperlink" Target="http://www.medicines.org.uk" TargetMode="External"/><Relationship Id="rId10" Type="http://schemas.openxmlformats.org/officeDocument/2006/relationships/hyperlink" Target="http://www.eastmidlandscancernetwork.nhs.uk/Library/EMCNDC000809CMLGuidelinesv3.pdf" TargetMode="External"/><Relationship Id="rId19" Type="http://schemas.openxmlformats.org/officeDocument/2006/relationships/hyperlink" Target="http://www.sign.ac.uk" TargetMode="External"/><Relationship Id="rId4" Type="http://schemas.openxmlformats.org/officeDocument/2006/relationships/webSettings" Target="webSettings.xml"/><Relationship Id="rId9" Type="http://schemas.openxmlformats.org/officeDocument/2006/relationships/hyperlink" Target="http://emedicine.medscape.com/article/297664-overview" TargetMode="External"/><Relationship Id="rId14" Type="http://schemas.openxmlformats.org/officeDocument/2006/relationships/hyperlink" Target="http://www.bash.org.uk" TargetMode="External"/><Relationship Id="rId22" Type="http://schemas.openxmlformats.org/officeDocument/2006/relationships/hyperlink" Target="http://eguidelin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4373</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Developing a therapeutic framework – Report Form</vt:lpstr>
    </vt:vector>
  </TitlesOfParts>
  <Company>DMU</Company>
  <LinksUpToDate>false</LinksUpToDate>
  <CharactersWithSpaces>29246</CharactersWithSpaces>
  <SharedDoc>false</SharedDoc>
  <HLinks>
    <vt:vector size="132" baseType="variant">
      <vt:variant>
        <vt:i4>2752565</vt:i4>
      </vt:variant>
      <vt:variant>
        <vt:i4>63</vt:i4>
      </vt:variant>
      <vt:variant>
        <vt:i4>0</vt:i4>
      </vt:variant>
      <vt:variant>
        <vt:i4>5</vt:i4>
      </vt:variant>
      <vt:variant>
        <vt:lpwstr>http://www.nelh.nhs.uk/</vt:lpwstr>
      </vt:variant>
      <vt:variant>
        <vt:lpwstr/>
      </vt:variant>
      <vt:variant>
        <vt:i4>7077947</vt:i4>
      </vt:variant>
      <vt:variant>
        <vt:i4>60</vt:i4>
      </vt:variant>
      <vt:variant>
        <vt:i4>0</vt:i4>
      </vt:variant>
      <vt:variant>
        <vt:i4>5</vt:i4>
      </vt:variant>
      <vt:variant>
        <vt:lpwstr>http://www.doh.gov.uk/</vt:lpwstr>
      </vt:variant>
      <vt:variant>
        <vt:lpwstr/>
      </vt:variant>
      <vt:variant>
        <vt:i4>2752565</vt:i4>
      </vt:variant>
      <vt:variant>
        <vt:i4>57</vt:i4>
      </vt:variant>
      <vt:variant>
        <vt:i4>0</vt:i4>
      </vt:variant>
      <vt:variant>
        <vt:i4>5</vt:i4>
      </vt:variant>
      <vt:variant>
        <vt:lpwstr>http://www.nelh.nhs.uk/</vt:lpwstr>
      </vt:variant>
      <vt:variant>
        <vt:lpwstr/>
      </vt:variant>
      <vt:variant>
        <vt:i4>524302</vt:i4>
      </vt:variant>
      <vt:variant>
        <vt:i4>54</vt:i4>
      </vt:variant>
      <vt:variant>
        <vt:i4>0</vt:i4>
      </vt:variant>
      <vt:variant>
        <vt:i4>5</vt:i4>
      </vt:variant>
      <vt:variant>
        <vt:lpwstr>http://www.medicines-partnership.org.uk/</vt:lpwstr>
      </vt:variant>
      <vt:variant>
        <vt:lpwstr/>
      </vt:variant>
      <vt:variant>
        <vt:i4>6750328</vt:i4>
      </vt:variant>
      <vt:variant>
        <vt:i4>51</vt:i4>
      </vt:variant>
      <vt:variant>
        <vt:i4>0</vt:i4>
      </vt:variant>
      <vt:variant>
        <vt:i4>5</vt:i4>
      </vt:variant>
      <vt:variant>
        <vt:lpwstr>http://ukmicentral.nhs.uk/</vt:lpwstr>
      </vt:variant>
      <vt:variant>
        <vt:lpwstr/>
      </vt:variant>
      <vt:variant>
        <vt:i4>917577</vt:i4>
      </vt:variant>
      <vt:variant>
        <vt:i4>48</vt:i4>
      </vt:variant>
      <vt:variant>
        <vt:i4>0</vt:i4>
      </vt:variant>
      <vt:variant>
        <vt:i4>5</vt:i4>
      </vt:variant>
      <vt:variant>
        <vt:lpwstr>http://www.medicines.org.uk/</vt:lpwstr>
      </vt:variant>
      <vt:variant>
        <vt:lpwstr/>
      </vt:variant>
      <vt:variant>
        <vt:i4>524378</vt:i4>
      </vt:variant>
      <vt:variant>
        <vt:i4>45</vt:i4>
      </vt:variant>
      <vt:variant>
        <vt:i4>0</vt:i4>
      </vt:variant>
      <vt:variant>
        <vt:i4>5</vt:i4>
      </vt:variant>
      <vt:variant>
        <vt:lpwstr>http://eguidelines.co.uk/</vt:lpwstr>
      </vt:variant>
      <vt:variant>
        <vt:lpwstr/>
      </vt:variant>
      <vt:variant>
        <vt:i4>2883622</vt:i4>
      </vt:variant>
      <vt:variant>
        <vt:i4>42</vt:i4>
      </vt:variant>
      <vt:variant>
        <vt:i4>0</vt:i4>
      </vt:variant>
      <vt:variant>
        <vt:i4>5</vt:i4>
      </vt:variant>
      <vt:variant>
        <vt:lpwstr>http://www.ebandolier.com/</vt:lpwstr>
      </vt:variant>
      <vt:variant>
        <vt:lpwstr/>
      </vt:variant>
      <vt:variant>
        <vt:i4>7405608</vt:i4>
      </vt:variant>
      <vt:variant>
        <vt:i4>39</vt:i4>
      </vt:variant>
      <vt:variant>
        <vt:i4>0</vt:i4>
      </vt:variant>
      <vt:variant>
        <vt:i4>5</vt:i4>
      </vt:variant>
      <vt:variant>
        <vt:lpwstr>http://mtrac.co.uk/</vt:lpwstr>
      </vt:variant>
      <vt:variant>
        <vt:lpwstr/>
      </vt:variant>
      <vt:variant>
        <vt:i4>7077998</vt:i4>
      </vt:variant>
      <vt:variant>
        <vt:i4>36</vt:i4>
      </vt:variant>
      <vt:variant>
        <vt:i4>0</vt:i4>
      </vt:variant>
      <vt:variant>
        <vt:i4>5</vt:i4>
      </vt:variant>
      <vt:variant>
        <vt:lpwstr>http://mca.gov.uk/</vt:lpwstr>
      </vt:variant>
      <vt:variant>
        <vt:lpwstr/>
      </vt:variant>
      <vt:variant>
        <vt:i4>4128888</vt:i4>
      </vt:variant>
      <vt:variant>
        <vt:i4>33</vt:i4>
      </vt:variant>
      <vt:variant>
        <vt:i4>0</vt:i4>
      </vt:variant>
      <vt:variant>
        <vt:i4>5</vt:i4>
      </vt:variant>
      <vt:variant>
        <vt:lpwstr>http://nice.org.uk/</vt:lpwstr>
      </vt:variant>
      <vt:variant>
        <vt:lpwstr/>
      </vt:variant>
      <vt:variant>
        <vt:i4>2621555</vt:i4>
      </vt:variant>
      <vt:variant>
        <vt:i4>30</vt:i4>
      </vt:variant>
      <vt:variant>
        <vt:i4>0</vt:i4>
      </vt:variant>
      <vt:variant>
        <vt:i4>5</vt:i4>
      </vt:variant>
      <vt:variant>
        <vt:lpwstr>http://www.sign.ac.uk/</vt:lpwstr>
      </vt:variant>
      <vt:variant>
        <vt:lpwstr/>
      </vt:variant>
      <vt:variant>
        <vt:i4>6225996</vt:i4>
      </vt:variant>
      <vt:variant>
        <vt:i4>27</vt:i4>
      </vt:variant>
      <vt:variant>
        <vt:i4>0</vt:i4>
      </vt:variant>
      <vt:variant>
        <vt:i4>5</vt:i4>
      </vt:variant>
      <vt:variant>
        <vt:lpwstr>http://www.medscape.com/</vt:lpwstr>
      </vt:variant>
      <vt:variant>
        <vt:lpwstr/>
      </vt:variant>
      <vt:variant>
        <vt:i4>20</vt:i4>
      </vt:variant>
      <vt:variant>
        <vt:i4>24</vt:i4>
      </vt:variant>
      <vt:variant>
        <vt:i4>0</vt:i4>
      </vt:variant>
      <vt:variant>
        <vt:i4>5</vt:i4>
      </vt:variant>
      <vt:variant>
        <vt:lpwstr>http://www.npc.co.uk/</vt:lpwstr>
      </vt:variant>
      <vt:variant>
        <vt:lpwstr/>
      </vt:variant>
      <vt:variant>
        <vt:i4>2228262</vt:i4>
      </vt:variant>
      <vt:variant>
        <vt:i4>21</vt:i4>
      </vt:variant>
      <vt:variant>
        <vt:i4>0</vt:i4>
      </vt:variant>
      <vt:variant>
        <vt:i4>5</vt:i4>
      </vt:variant>
      <vt:variant>
        <vt:lpwstr>http://www.druginfozone.nhs.uk/</vt:lpwstr>
      </vt:variant>
      <vt:variant>
        <vt:lpwstr/>
      </vt:variant>
      <vt:variant>
        <vt:i4>5242956</vt:i4>
      </vt:variant>
      <vt:variant>
        <vt:i4>18</vt:i4>
      </vt:variant>
      <vt:variant>
        <vt:i4>0</vt:i4>
      </vt:variant>
      <vt:variant>
        <vt:i4>5</vt:i4>
      </vt:variant>
      <vt:variant>
        <vt:lpwstr>http://www.clinicalevidence.org/</vt:lpwstr>
      </vt:variant>
      <vt:variant>
        <vt:lpwstr/>
      </vt:variant>
      <vt:variant>
        <vt:i4>2949244</vt:i4>
      </vt:variant>
      <vt:variant>
        <vt:i4>15</vt:i4>
      </vt:variant>
      <vt:variant>
        <vt:i4>0</vt:i4>
      </vt:variant>
      <vt:variant>
        <vt:i4>5</vt:i4>
      </vt:variant>
      <vt:variant>
        <vt:lpwstr>http://www.bmj.com/</vt:lpwstr>
      </vt:variant>
      <vt:variant>
        <vt:lpwstr/>
      </vt:variant>
      <vt:variant>
        <vt:i4>2752565</vt:i4>
      </vt:variant>
      <vt:variant>
        <vt:i4>12</vt:i4>
      </vt:variant>
      <vt:variant>
        <vt:i4>0</vt:i4>
      </vt:variant>
      <vt:variant>
        <vt:i4>5</vt:i4>
      </vt:variant>
      <vt:variant>
        <vt:lpwstr>http://www.nelh.nhs.uk/</vt:lpwstr>
      </vt:variant>
      <vt:variant>
        <vt:lpwstr/>
      </vt:variant>
      <vt:variant>
        <vt:i4>2752565</vt:i4>
      </vt:variant>
      <vt:variant>
        <vt:i4>9</vt:i4>
      </vt:variant>
      <vt:variant>
        <vt:i4>0</vt:i4>
      </vt:variant>
      <vt:variant>
        <vt:i4>5</vt:i4>
      </vt:variant>
      <vt:variant>
        <vt:lpwstr>http://www.nelh.nhs.uk/</vt:lpwstr>
      </vt:variant>
      <vt:variant>
        <vt:lpwstr/>
      </vt:variant>
      <vt:variant>
        <vt:i4>2752565</vt:i4>
      </vt:variant>
      <vt:variant>
        <vt:i4>6</vt:i4>
      </vt:variant>
      <vt:variant>
        <vt:i4>0</vt:i4>
      </vt:variant>
      <vt:variant>
        <vt:i4>5</vt:i4>
      </vt:variant>
      <vt:variant>
        <vt:lpwstr>http://www.nelh.nhs.uk/</vt:lpwstr>
      </vt:variant>
      <vt:variant>
        <vt:lpwstr/>
      </vt:variant>
      <vt:variant>
        <vt:i4>917577</vt:i4>
      </vt:variant>
      <vt:variant>
        <vt:i4>3</vt:i4>
      </vt:variant>
      <vt:variant>
        <vt:i4>0</vt:i4>
      </vt:variant>
      <vt:variant>
        <vt:i4>5</vt:i4>
      </vt:variant>
      <vt:variant>
        <vt:lpwstr>http://www.medicines.org.uk/</vt:lpwstr>
      </vt:variant>
      <vt:variant>
        <vt:lpwstr/>
      </vt:variant>
      <vt:variant>
        <vt:i4>7667735</vt:i4>
      </vt:variant>
      <vt:variant>
        <vt:i4>0</vt:i4>
      </vt:variant>
      <vt:variant>
        <vt:i4>0</vt:i4>
      </vt:variant>
      <vt:variant>
        <vt:i4>5</vt:i4>
      </vt:variant>
      <vt:variant>
        <vt:lpwstr>mailto:LGoodyer@dmu.ac.uk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therapeutic framework – Report Form</dc:title>
  <dc:creator>lgoodyer</dc:creator>
  <cp:lastModifiedBy>Zeenat Hassam</cp:lastModifiedBy>
  <cp:revision>4</cp:revision>
  <cp:lastPrinted>2016-10-13T09:40:00Z</cp:lastPrinted>
  <dcterms:created xsi:type="dcterms:W3CDTF">2020-09-15T16:08:00Z</dcterms:created>
  <dcterms:modified xsi:type="dcterms:W3CDTF">2020-09-15T17:06:00Z</dcterms:modified>
</cp:coreProperties>
</file>