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B2AD" w14:textId="0243BC6E" w:rsidR="00280C17" w:rsidRDefault="00280C17" w:rsidP="00280C17">
      <w:pPr>
        <w:shd w:val="clear" w:color="auto" w:fill="FFFFFF"/>
        <w:spacing w:before="75" w:after="75" w:line="600" w:lineRule="atLeast"/>
        <w:outlineLvl w:val="0"/>
        <w:rPr>
          <w:rFonts w:ascii="Open Sans" w:eastAsia="Times New Roman" w:hAnsi="Open Sans" w:cs="Times New Roman"/>
          <w:color w:val="080808"/>
          <w:kern w:val="36"/>
          <w:sz w:val="40"/>
          <w:szCs w:val="40"/>
        </w:rPr>
      </w:pPr>
      <w:r>
        <w:rPr>
          <w:rFonts w:ascii="Open Sans" w:eastAsia="Times New Roman" w:hAnsi="Open Sans" w:cs="Times New Roman"/>
          <w:color w:val="080808"/>
          <w:kern w:val="36"/>
          <w:sz w:val="40"/>
          <w:szCs w:val="40"/>
        </w:rPr>
        <w:t>Tata Power</w:t>
      </w:r>
    </w:p>
    <w:p w14:paraId="6045B04D" w14:textId="2F25D658" w:rsidR="00280C17" w:rsidRPr="00280C17" w:rsidRDefault="00280C17" w:rsidP="00280C17">
      <w:pPr>
        <w:shd w:val="clear" w:color="auto" w:fill="FFFFFF"/>
        <w:spacing w:before="75" w:after="75" w:line="600" w:lineRule="atLeast"/>
        <w:outlineLvl w:val="0"/>
        <w:rPr>
          <w:rFonts w:ascii="Open Sans" w:eastAsia="Times New Roman" w:hAnsi="Open Sans" w:cs="Times New Roman"/>
          <w:color w:val="080808"/>
          <w:kern w:val="36"/>
          <w:sz w:val="40"/>
          <w:szCs w:val="40"/>
        </w:rPr>
      </w:pPr>
      <w:r w:rsidRPr="00280C17">
        <w:rPr>
          <w:rFonts w:ascii="Open Sans" w:eastAsia="Times New Roman" w:hAnsi="Open Sans" w:cs="Times New Roman"/>
          <w:color w:val="080808"/>
          <w:kern w:val="36"/>
          <w:sz w:val="40"/>
          <w:szCs w:val="40"/>
        </w:rPr>
        <w:t>External Analysis</w:t>
      </w:r>
    </w:p>
    <w:p w14:paraId="6C89742E" w14:textId="77777777" w:rsidR="00280C17" w:rsidRPr="00280C17" w:rsidRDefault="00280C17" w:rsidP="00280C17">
      <w:pPr>
        <w:shd w:val="clear" w:color="auto" w:fill="FFFFFF"/>
        <w:spacing w:before="75" w:after="75" w:line="600" w:lineRule="atLeast"/>
        <w:outlineLvl w:val="1"/>
        <w:rPr>
          <w:rFonts w:ascii="Open Sans" w:eastAsia="Times New Roman" w:hAnsi="Open Sans" w:cs="Times New Roman"/>
          <w:color w:val="080808"/>
          <w:sz w:val="26"/>
          <w:szCs w:val="26"/>
        </w:rPr>
      </w:pPr>
      <w:bookmarkStart w:id="0" w:name="_Toc518309008"/>
      <w:bookmarkEnd w:id="0"/>
      <w:r w:rsidRPr="00280C17">
        <w:rPr>
          <w:rFonts w:ascii="Open Sans" w:eastAsia="Times New Roman" w:hAnsi="Open Sans" w:cs="Times New Roman"/>
          <w:color w:val="080808"/>
          <w:sz w:val="26"/>
          <w:szCs w:val="26"/>
        </w:rPr>
        <w:t>1.0.(PESTEL analysis)</w:t>
      </w:r>
    </w:p>
    <w:p w14:paraId="703AEC5D"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Political</w:t>
      </w:r>
      <w:r w:rsidRPr="00280C17">
        <w:rPr>
          <w:rFonts w:ascii="Open Sans" w:eastAsia="Times New Roman" w:hAnsi="Open Sans" w:cs="Times New Roman"/>
          <w:color w:val="5A5A5A"/>
          <w:sz w:val="24"/>
          <w:szCs w:val="24"/>
        </w:rPr>
        <w:t>:</w:t>
      </w:r>
    </w:p>
    <w:p w14:paraId="1F8A9C1B"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Indian power sector is highly dominated by the government.</w:t>
      </w:r>
    </w:p>
    <w:p w14:paraId="23937613"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Highly regulated.</w:t>
      </w:r>
    </w:p>
    <w:p w14:paraId="6B258E91"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Most of land is issued by the government where TATA power operates.</w:t>
      </w:r>
    </w:p>
    <w:p w14:paraId="1ADB3E73"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The emissions of TATA power are better than NAAQ’s</w:t>
      </w:r>
    </w:p>
    <w:p w14:paraId="67F7794C" w14:textId="77777777" w:rsidR="00280C17" w:rsidRPr="00280C17" w:rsidRDefault="00280C17" w:rsidP="00280C17">
      <w:pPr>
        <w:numPr>
          <w:ilvl w:val="1"/>
          <w:numId w:val="1"/>
        </w:numPr>
        <w:shd w:val="clear" w:color="auto" w:fill="FFFFFF"/>
        <w:spacing w:before="100" w:beforeAutospacing="1" w:after="100" w:afterAutospacing="1" w:line="300" w:lineRule="atLeast"/>
        <w:ind w:left="204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Economic</w:t>
      </w:r>
      <w:r w:rsidRPr="00280C17">
        <w:rPr>
          <w:rFonts w:ascii="Open Sans" w:eastAsia="Times New Roman" w:hAnsi="Open Sans" w:cs="Times New Roman"/>
          <w:color w:val="5A5A5A"/>
          <w:sz w:val="24"/>
          <w:szCs w:val="24"/>
        </w:rPr>
        <w:t>:</w:t>
      </w:r>
    </w:p>
    <w:p w14:paraId="1BF5494E"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The demand for power is currently growing in the Indian market.</w:t>
      </w:r>
    </w:p>
    <w:p w14:paraId="2C09F002"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The demand for power in India is not likely to change in forthcoming years.</w:t>
      </w:r>
    </w:p>
    <w:p w14:paraId="144938D2"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There are many globalization opportunities.</w:t>
      </w:r>
    </w:p>
    <w:p w14:paraId="58159DB0" w14:textId="77777777" w:rsidR="00280C17" w:rsidRPr="00280C17" w:rsidRDefault="00280C17" w:rsidP="00280C17">
      <w:pPr>
        <w:numPr>
          <w:ilvl w:val="1"/>
          <w:numId w:val="1"/>
        </w:numPr>
        <w:shd w:val="clear" w:color="auto" w:fill="FFFFFF"/>
        <w:spacing w:before="100" w:beforeAutospacing="1" w:after="100" w:afterAutospacing="1" w:line="300" w:lineRule="atLeast"/>
        <w:ind w:left="204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Social</w:t>
      </w:r>
      <w:r w:rsidRPr="00280C17">
        <w:rPr>
          <w:rFonts w:ascii="Open Sans" w:eastAsia="Times New Roman" w:hAnsi="Open Sans" w:cs="Times New Roman"/>
          <w:color w:val="5A5A5A"/>
          <w:sz w:val="24"/>
          <w:szCs w:val="24"/>
        </w:rPr>
        <w:t>:</w:t>
      </w:r>
    </w:p>
    <w:p w14:paraId="504F5B21"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Many opportunities for TATA Power to contribute the Indian communities.</w:t>
      </w:r>
    </w:p>
    <w:p w14:paraId="0F67D3F0"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Employees are highly willing to volunteer.</w:t>
      </w:r>
    </w:p>
    <w:p w14:paraId="1D3A5497"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More emphasis on the corporate social responsibility from the customer base puts pressure on the TATA power.</w:t>
      </w:r>
    </w:p>
    <w:p w14:paraId="61CBD362" w14:textId="77777777" w:rsidR="00280C17" w:rsidRPr="00280C17" w:rsidRDefault="00280C17" w:rsidP="00280C17">
      <w:pPr>
        <w:numPr>
          <w:ilvl w:val="1"/>
          <w:numId w:val="1"/>
        </w:numPr>
        <w:shd w:val="clear" w:color="auto" w:fill="FFFFFF"/>
        <w:spacing w:before="100" w:beforeAutospacing="1" w:after="100" w:afterAutospacing="1" w:line="300" w:lineRule="atLeast"/>
        <w:ind w:left="204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Technological:</w:t>
      </w:r>
    </w:p>
    <w:p w14:paraId="63794F16"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Plans to expand its expertise and capabilities with 7,500 MW of additional generation capacity.</w:t>
      </w:r>
    </w:p>
    <w:p w14:paraId="3FDBDBD4" w14:textId="77777777" w:rsidR="00280C17" w:rsidRPr="00280C17" w:rsidRDefault="00280C17" w:rsidP="00280C17">
      <w:pPr>
        <w:numPr>
          <w:ilvl w:val="0"/>
          <w:numId w:val="1"/>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 xml:space="preserve">Researching technologies </w:t>
      </w:r>
      <w:proofErr w:type="gramStart"/>
      <w:r w:rsidRPr="00280C17">
        <w:rPr>
          <w:rFonts w:ascii="Open Sans" w:eastAsia="Times New Roman" w:hAnsi="Open Sans" w:cs="Times New Roman"/>
          <w:color w:val="5A5A5A"/>
          <w:sz w:val="24"/>
          <w:szCs w:val="24"/>
        </w:rPr>
        <w:t>in order to</w:t>
      </w:r>
      <w:proofErr w:type="gramEnd"/>
      <w:r w:rsidRPr="00280C17">
        <w:rPr>
          <w:rFonts w:ascii="Open Sans" w:eastAsia="Times New Roman" w:hAnsi="Open Sans" w:cs="Times New Roman"/>
          <w:color w:val="5A5A5A"/>
          <w:sz w:val="24"/>
          <w:szCs w:val="24"/>
        </w:rPr>
        <w:t xml:space="preserve"> lower the carbon emission from power generation activities.</w:t>
      </w:r>
    </w:p>
    <w:p w14:paraId="708D2FE0" w14:textId="77777777" w:rsidR="00280C17" w:rsidRPr="00280C17" w:rsidRDefault="00280C17" w:rsidP="00280C17">
      <w:pPr>
        <w:shd w:val="clear" w:color="auto" w:fill="FFFFFF"/>
        <w:spacing w:before="75" w:after="75" w:line="600" w:lineRule="atLeast"/>
        <w:outlineLvl w:val="1"/>
        <w:rPr>
          <w:rFonts w:ascii="Open Sans" w:eastAsia="Times New Roman" w:hAnsi="Open Sans" w:cs="Times New Roman"/>
          <w:color w:val="080808"/>
          <w:sz w:val="26"/>
          <w:szCs w:val="26"/>
        </w:rPr>
      </w:pPr>
      <w:bookmarkStart w:id="1" w:name="_Toc518309009"/>
      <w:bookmarkEnd w:id="1"/>
      <w:r w:rsidRPr="00280C17">
        <w:rPr>
          <w:rFonts w:ascii="Open Sans" w:eastAsia="Times New Roman" w:hAnsi="Open Sans" w:cs="Times New Roman"/>
          <w:color w:val="080808"/>
          <w:sz w:val="26"/>
          <w:szCs w:val="26"/>
        </w:rPr>
        <w:t>2.</w:t>
      </w:r>
      <w:proofErr w:type="gramStart"/>
      <w:r w:rsidRPr="00280C17">
        <w:rPr>
          <w:rFonts w:ascii="Open Sans" w:eastAsia="Times New Roman" w:hAnsi="Open Sans" w:cs="Times New Roman"/>
          <w:color w:val="080808"/>
          <w:sz w:val="26"/>
          <w:szCs w:val="26"/>
        </w:rPr>
        <w:t>0.Dominant</w:t>
      </w:r>
      <w:proofErr w:type="gramEnd"/>
      <w:r w:rsidRPr="00280C17">
        <w:rPr>
          <w:rFonts w:ascii="Open Sans" w:eastAsia="Times New Roman" w:hAnsi="Open Sans" w:cs="Times New Roman"/>
          <w:color w:val="080808"/>
          <w:sz w:val="26"/>
          <w:szCs w:val="26"/>
        </w:rPr>
        <w:t xml:space="preserve"> Economic Features analysis</w:t>
      </w:r>
    </w:p>
    <w:p w14:paraId="737298BC" w14:textId="77777777" w:rsidR="00280C17" w:rsidRPr="00280C17" w:rsidRDefault="00280C17" w:rsidP="00280C17">
      <w:pPr>
        <w:numPr>
          <w:ilvl w:val="0"/>
          <w:numId w:val="2"/>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Market size</w:t>
      </w:r>
      <w:r w:rsidRPr="00280C17">
        <w:rPr>
          <w:rFonts w:ascii="Open Sans" w:eastAsia="Times New Roman" w:hAnsi="Open Sans" w:cs="Times New Roman"/>
          <w:color w:val="5A5A5A"/>
          <w:sz w:val="24"/>
          <w:szCs w:val="24"/>
        </w:rPr>
        <w:t xml:space="preserve">: the power market in India underwent a significant change that most likely redefined the power industry outlook. The competitive rivalry seems to be increasing at both supply and demand side from 2006-2007 as the number of power generation companies increased more than 2 </w:t>
      </w:r>
      <w:proofErr w:type="gramStart"/>
      <w:r w:rsidRPr="00280C17">
        <w:rPr>
          <w:rFonts w:ascii="Open Sans" w:eastAsia="Times New Roman" w:hAnsi="Open Sans" w:cs="Times New Roman"/>
          <w:color w:val="5A5A5A"/>
          <w:sz w:val="24"/>
          <w:szCs w:val="24"/>
        </w:rPr>
        <w:t>times.(</w:t>
      </w:r>
      <w:proofErr w:type="gramEnd"/>
      <w:r w:rsidRPr="00280C17">
        <w:rPr>
          <w:rFonts w:ascii="Open Sans" w:eastAsia="Times New Roman" w:hAnsi="Open Sans" w:cs="Times New Roman"/>
          <w:color w:val="5A5A5A"/>
          <w:sz w:val="24"/>
          <w:szCs w:val="24"/>
        </w:rPr>
        <w:t>Logistics, fuel, manpower and finances).(Exhibit 10 A- Page 17 (Dr. Rama Deshmukh, 2013))</w:t>
      </w:r>
    </w:p>
    <w:p w14:paraId="0E5A67F3" w14:textId="77777777" w:rsidR="00280C17" w:rsidRPr="00280C17" w:rsidRDefault="00280C17" w:rsidP="00280C17">
      <w:pPr>
        <w:numPr>
          <w:ilvl w:val="0"/>
          <w:numId w:val="2"/>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 xml:space="preserve">Investment </w:t>
      </w:r>
      <w:proofErr w:type="spellStart"/>
      <w:proofErr w:type="gramStart"/>
      <w:r w:rsidRPr="00280C17">
        <w:rPr>
          <w:rFonts w:ascii="Open Sans" w:eastAsia="Times New Roman" w:hAnsi="Open Sans" w:cs="Times New Roman"/>
          <w:b/>
          <w:bCs/>
          <w:color w:val="5A5A5A"/>
          <w:sz w:val="24"/>
          <w:szCs w:val="24"/>
        </w:rPr>
        <w:t>scenario:</w:t>
      </w:r>
      <w:r w:rsidRPr="00280C17">
        <w:rPr>
          <w:rFonts w:ascii="Open Sans" w:eastAsia="Times New Roman" w:hAnsi="Open Sans" w:cs="Times New Roman"/>
          <w:color w:val="5A5A5A"/>
          <w:sz w:val="24"/>
          <w:szCs w:val="24"/>
        </w:rPr>
        <w:t>between</w:t>
      </w:r>
      <w:proofErr w:type="spellEnd"/>
      <w:proofErr w:type="gramEnd"/>
      <w:r w:rsidRPr="00280C17">
        <w:rPr>
          <w:rFonts w:ascii="Open Sans" w:eastAsia="Times New Roman" w:hAnsi="Open Sans" w:cs="Times New Roman"/>
          <w:color w:val="5A5A5A"/>
          <w:sz w:val="24"/>
          <w:szCs w:val="24"/>
        </w:rPr>
        <w:t xml:space="preserve"> 2000 and 2012, it is analyzed that the power industry has attracted approximately $12.897 billion in FDI accounted for 3.52% of overall inflows generated from FDI in India. Energy </w:t>
      </w:r>
      <w:r w:rsidRPr="00280C17">
        <w:rPr>
          <w:rFonts w:ascii="Open Sans" w:eastAsia="Times New Roman" w:hAnsi="Open Sans" w:cs="Times New Roman"/>
          <w:color w:val="5A5A5A"/>
          <w:sz w:val="24"/>
          <w:szCs w:val="24"/>
        </w:rPr>
        <w:lastRenderedPageBreak/>
        <w:t>Efficient </w:t>
      </w:r>
      <w:hyperlink r:id="rId5" w:tooltip="Services" w:history="1">
        <w:r w:rsidRPr="00280C17">
          <w:rPr>
            <w:rFonts w:ascii="Open Sans" w:eastAsia="Times New Roman" w:hAnsi="Open Sans" w:cs="Times New Roman"/>
            <w:color w:val="226AC1"/>
            <w:sz w:val="24"/>
            <w:szCs w:val="24"/>
            <w:u w:val="single"/>
          </w:rPr>
          <w:t>Services</w:t>
        </w:r>
      </w:hyperlink>
      <w:r w:rsidRPr="00280C17">
        <w:rPr>
          <w:rFonts w:ascii="Open Sans" w:eastAsia="Times New Roman" w:hAnsi="Open Sans" w:cs="Times New Roman"/>
          <w:color w:val="5A5A5A"/>
          <w:sz w:val="24"/>
          <w:szCs w:val="24"/>
        </w:rPr>
        <w:t> Ltd (EFSL) for its energy efficient projects have raised $454 million from Global Environment Facility (GEF) for the purpose of attempting to boost the move of India towards developing a carbon economy.</w:t>
      </w:r>
    </w:p>
    <w:p w14:paraId="3D528E4C" w14:textId="77777777" w:rsidR="00280C17" w:rsidRPr="00280C17" w:rsidRDefault="00280C17" w:rsidP="00280C17">
      <w:pPr>
        <w:numPr>
          <w:ilvl w:val="0"/>
          <w:numId w:val="2"/>
        </w:numPr>
        <w:shd w:val="clear" w:color="auto" w:fill="FFFFFF"/>
        <w:spacing w:before="100" w:beforeAutospacing="1" w:after="100" w:afterAutospacing="1" w:line="300" w:lineRule="atLeast"/>
        <w:ind w:left="1020"/>
        <w:rPr>
          <w:rFonts w:ascii="Open Sans" w:eastAsia="Times New Roman" w:hAnsi="Open Sans" w:cs="Times New Roman"/>
          <w:color w:val="5A5A5A"/>
          <w:sz w:val="24"/>
          <w:szCs w:val="24"/>
        </w:rPr>
      </w:pPr>
      <w:r w:rsidRPr="00280C17">
        <w:rPr>
          <w:rFonts w:ascii="Open Sans" w:eastAsia="Times New Roman" w:hAnsi="Open Sans" w:cs="Times New Roman"/>
          <w:b/>
          <w:bCs/>
          <w:color w:val="5A5A5A"/>
          <w:sz w:val="24"/>
          <w:szCs w:val="24"/>
        </w:rPr>
        <w:t>Research and development</w:t>
      </w:r>
      <w:r w:rsidRPr="00280C17">
        <w:rPr>
          <w:rFonts w:ascii="Open Sans" w:eastAsia="Times New Roman" w:hAnsi="Open Sans" w:cs="Times New Roman"/>
          <w:color w:val="5A5A5A"/>
          <w:sz w:val="24"/>
          <w:szCs w:val="24"/>
        </w:rPr>
        <w:t>: a power industry is inherently a high technology industry. The companies are now working to define the Research and development priorities, also set up internal zone that would probably manage the technology program in the forthcoming years.</w:t>
      </w:r>
    </w:p>
    <w:p w14:paraId="2329DC38" w14:textId="77777777" w:rsidR="00280C17" w:rsidRPr="00280C17" w:rsidRDefault="00280C17" w:rsidP="00280C17">
      <w:pPr>
        <w:shd w:val="clear" w:color="auto" w:fill="FFFFFF"/>
        <w:spacing w:before="150" w:after="150" w:line="240" w:lineRule="auto"/>
        <w:rPr>
          <w:rFonts w:ascii="Open Sans" w:eastAsia="Times New Roman" w:hAnsi="Open Sans" w:cs="Times New Roman"/>
          <w:color w:val="5A5A5A"/>
          <w:sz w:val="24"/>
          <w:szCs w:val="24"/>
        </w:rPr>
      </w:pPr>
      <w:r w:rsidRPr="00280C17">
        <w:rPr>
          <w:rFonts w:ascii="Open Sans" w:eastAsia="Times New Roman" w:hAnsi="Open Sans" w:cs="Times New Roman"/>
          <w:color w:val="5A5A5A"/>
          <w:sz w:val="24"/>
          <w:szCs w:val="24"/>
        </w:rPr>
        <w:t> </w:t>
      </w:r>
    </w:p>
    <w:p w14:paraId="17F20552" w14:textId="77777777" w:rsidR="00280C17" w:rsidRPr="00280C17" w:rsidRDefault="00280C17" w:rsidP="00280C17">
      <w:pPr>
        <w:shd w:val="clear" w:color="auto" w:fill="FFFFFF"/>
        <w:spacing w:before="75" w:after="75" w:line="600" w:lineRule="atLeast"/>
        <w:outlineLvl w:val="1"/>
        <w:rPr>
          <w:rFonts w:ascii="Open Sans" w:eastAsia="Times New Roman" w:hAnsi="Open Sans" w:cs="Open Sans"/>
          <w:color w:val="080808"/>
          <w:sz w:val="26"/>
          <w:szCs w:val="26"/>
        </w:rPr>
      </w:pPr>
      <w:bookmarkStart w:id="2" w:name="_Toc518309010"/>
      <w:bookmarkEnd w:id="2"/>
      <w:r w:rsidRPr="00280C17">
        <w:rPr>
          <w:rFonts w:ascii="Open Sans" w:eastAsia="Times New Roman" w:hAnsi="Open Sans" w:cs="Open Sans"/>
          <w:color w:val="080808"/>
          <w:sz w:val="26"/>
          <w:szCs w:val="26"/>
        </w:rPr>
        <w:t>3.</w:t>
      </w:r>
      <w:proofErr w:type="gramStart"/>
      <w:r w:rsidRPr="00280C17">
        <w:rPr>
          <w:rFonts w:ascii="Open Sans" w:eastAsia="Times New Roman" w:hAnsi="Open Sans" w:cs="Open Sans"/>
          <w:color w:val="080808"/>
          <w:sz w:val="26"/>
          <w:szCs w:val="26"/>
        </w:rPr>
        <w:t>0.Porter’s</w:t>
      </w:r>
      <w:proofErr w:type="gramEnd"/>
      <w:r w:rsidRPr="00280C17">
        <w:rPr>
          <w:rFonts w:ascii="Open Sans" w:eastAsia="Times New Roman" w:hAnsi="Open Sans" w:cs="Open Sans"/>
          <w:color w:val="080808"/>
          <w:sz w:val="26"/>
          <w:szCs w:val="26"/>
        </w:rPr>
        <w:t xml:space="preserve"> 5 Forces Analysis</w:t>
      </w:r>
    </w:p>
    <w:p w14:paraId="3AC2DE60" w14:textId="77777777" w:rsidR="00280C17" w:rsidRPr="00280C17" w:rsidRDefault="00280C17" w:rsidP="00280C17">
      <w:pPr>
        <w:numPr>
          <w:ilvl w:val="0"/>
          <w:numId w:val="3"/>
        </w:numPr>
        <w:shd w:val="clear" w:color="auto" w:fill="FFFFFF"/>
        <w:spacing w:before="100" w:beforeAutospacing="1" w:after="100" w:afterAutospacing="1" w:line="300" w:lineRule="atLeast"/>
        <w:ind w:left="1020"/>
        <w:rPr>
          <w:rFonts w:ascii="Open Sans" w:eastAsia="Times New Roman" w:hAnsi="Open Sans" w:cs="Open Sans"/>
          <w:color w:val="5A5A5A"/>
          <w:sz w:val="24"/>
          <w:szCs w:val="24"/>
        </w:rPr>
      </w:pPr>
      <w:r w:rsidRPr="00280C17">
        <w:rPr>
          <w:rFonts w:ascii="Open Sans" w:eastAsia="Times New Roman" w:hAnsi="Open Sans" w:cs="Open Sans"/>
          <w:b/>
          <w:bCs/>
          <w:color w:val="5A5A5A"/>
          <w:sz w:val="24"/>
          <w:szCs w:val="24"/>
        </w:rPr>
        <w:t xml:space="preserve">Threat of New </w:t>
      </w:r>
      <w:proofErr w:type="spellStart"/>
      <w:r w:rsidRPr="00280C17">
        <w:rPr>
          <w:rFonts w:ascii="Open Sans" w:eastAsia="Times New Roman" w:hAnsi="Open Sans" w:cs="Open Sans"/>
          <w:b/>
          <w:bCs/>
          <w:color w:val="5A5A5A"/>
          <w:sz w:val="24"/>
          <w:szCs w:val="24"/>
        </w:rPr>
        <w:t>Entrants:it</w:t>
      </w:r>
      <w:proofErr w:type="spellEnd"/>
      <w:r w:rsidRPr="00280C17">
        <w:rPr>
          <w:rFonts w:ascii="Open Sans" w:eastAsia="Times New Roman" w:hAnsi="Open Sans" w:cs="Open Sans"/>
          <w:b/>
          <w:bCs/>
          <w:color w:val="5A5A5A"/>
          <w:sz w:val="24"/>
          <w:szCs w:val="24"/>
        </w:rPr>
        <w:t xml:space="preserve"> is being analyzed that there is a great demand for the quality and reliable power in order to gauge the </w:t>
      </w:r>
      <w:hyperlink r:id="rId6" w:tooltip="growth" w:history="1">
        <w:r w:rsidRPr="00280C17">
          <w:rPr>
            <w:rFonts w:ascii="Open Sans" w:eastAsia="Times New Roman" w:hAnsi="Open Sans" w:cs="Open Sans"/>
            <w:b/>
            <w:bCs/>
            <w:color w:val="226AC1"/>
            <w:sz w:val="24"/>
            <w:szCs w:val="24"/>
            <w:u w:val="single"/>
          </w:rPr>
          <w:t>growth</w:t>
        </w:r>
      </w:hyperlink>
      <w:r w:rsidRPr="00280C17">
        <w:rPr>
          <w:rFonts w:ascii="Open Sans" w:eastAsia="Times New Roman" w:hAnsi="Open Sans" w:cs="Open Sans"/>
          <w:b/>
          <w:bCs/>
          <w:color w:val="5A5A5A"/>
          <w:sz w:val="24"/>
          <w:szCs w:val="24"/>
        </w:rPr>
        <w:t xml:space="preserve"> of the country. The threat of new entrants is </w:t>
      </w:r>
      <w:proofErr w:type="gramStart"/>
      <w:r w:rsidRPr="00280C17">
        <w:rPr>
          <w:rFonts w:ascii="Open Sans" w:eastAsia="Times New Roman" w:hAnsi="Open Sans" w:cs="Open Sans"/>
          <w:b/>
          <w:bCs/>
          <w:color w:val="5A5A5A"/>
          <w:sz w:val="24"/>
          <w:szCs w:val="24"/>
        </w:rPr>
        <w:t>fairly high</w:t>
      </w:r>
      <w:proofErr w:type="gramEnd"/>
      <w:r w:rsidRPr="00280C17">
        <w:rPr>
          <w:rFonts w:ascii="Open Sans" w:eastAsia="Times New Roman" w:hAnsi="Open Sans" w:cs="Open Sans"/>
          <w:b/>
          <w:bCs/>
          <w:color w:val="5A5A5A"/>
          <w:sz w:val="24"/>
          <w:szCs w:val="24"/>
        </w:rPr>
        <w:t xml:space="preserve"> in the power industry as there are numerous opportunities for the private players seeking for the </w:t>
      </w:r>
      <w:proofErr w:type="spellStart"/>
      <w:r w:rsidRPr="00280C17">
        <w:rPr>
          <w:rFonts w:ascii="Open Sans" w:eastAsia="Times New Roman" w:hAnsi="Open Sans" w:cs="Open Sans"/>
          <w:b/>
          <w:bCs/>
          <w:color w:val="5A5A5A"/>
          <w:sz w:val="24"/>
          <w:szCs w:val="24"/>
        </w:rPr>
        <w:t>highestgrowth</w:t>
      </w:r>
      <w:proofErr w:type="spellEnd"/>
      <w:r w:rsidRPr="00280C17">
        <w:rPr>
          <w:rFonts w:ascii="Open Sans" w:eastAsia="Times New Roman" w:hAnsi="Open Sans" w:cs="Open Sans"/>
          <w:b/>
          <w:bCs/>
          <w:color w:val="5A5A5A"/>
          <w:sz w:val="24"/>
          <w:szCs w:val="24"/>
        </w:rPr>
        <w:t xml:space="preserve"> prospects in the market.</w:t>
      </w:r>
    </w:p>
    <w:p w14:paraId="60D9DC91" w14:textId="77777777" w:rsidR="00280C17" w:rsidRPr="00280C17" w:rsidRDefault="00280C17" w:rsidP="00280C17">
      <w:pPr>
        <w:numPr>
          <w:ilvl w:val="0"/>
          <w:numId w:val="3"/>
        </w:numPr>
        <w:shd w:val="clear" w:color="auto" w:fill="FFFFFF"/>
        <w:spacing w:before="100" w:beforeAutospacing="1" w:after="100" w:afterAutospacing="1" w:line="300" w:lineRule="atLeast"/>
        <w:ind w:left="1020"/>
        <w:rPr>
          <w:rFonts w:ascii="Open Sans" w:eastAsia="Times New Roman" w:hAnsi="Open Sans" w:cs="Open Sans"/>
          <w:color w:val="5A5A5A"/>
          <w:sz w:val="24"/>
          <w:szCs w:val="24"/>
        </w:rPr>
      </w:pPr>
      <w:r w:rsidRPr="00280C17">
        <w:rPr>
          <w:rFonts w:ascii="Open Sans" w:eastAsia="Times New Roman" w:hAnsi="Open Sans" w:cs="Open Sans"/>
          <w:b/>
          <w:bCs/>
          <w:color w:val="5A5A5A"/>
          <w:sz w:val="24"/>
          <w:szCs w:val="24"/>
        </w:rPr>
        <w:t>Threat of substitutes: </w:t>
      </w:r>
      <w:r w:rsidRPr="00280C17">
        <w:rPr>
          <w:rFonts w:ascii="Open Sans" w:eastAsia="Times New Roman" w:hAnsi="Open Sans" w:cs="Open Sans"/>
          <w:color w:val="5A5A5A"/>
          <w:sz w:val="24"/>
          <w:szCs w:val="24"/>
        </w:rPr>
        <w:t xml:space="preserve">there are various competitors of </w:t>
      </w:r>
      <w:proofErr w:type="spellStart"/>
      <w:r w:rsidRPr="00280C17">
        <w:rPr>
          <w:rFonts w:ascii="Open Sans" w:eastAsia="Times New Roman" w:hAnsi="Open Sans" w:cs="Open Sans"/>
          <w:color w:val="5A5A5A"/>
          <w:sz w:val="24"/>
          <w:szCs w:val="24"/>
        </w:rPr>
        <w:t>TataPower</w:t>
      </w:r>
      <w:proofErr w:type="spellEnd"/>
      <w:r w:rsidRPr="00280C17">
        <w:rPr>
          <w:rFonts w:ascii="Open Sans" w:eastAsia="Times New Roman" w:hAnsi="Open Sans" w:cs="Open Sans"/>
          <w:color w:val="5A5A5A"/>
          <w:sz w:val="24"/>
          <w:szCs w:val="24"/>
        </w:rPr>
        <w:t xml:space="preserve"> </w:t>
      </w:r>
      <w:proofErr w:type="spellStart"/>
      <w:r w:rsidRPr="00280C17">
        <w:rPr>
          <w:rFonts w:ascii="Open Sans" w:eastAsia="Times New Roman" w:hAnsi="Open Sans" w:cs="Open Sans"/>
          <w:color w:val="5A5A5A"/>
          <w:sz w:val="24"/>
          <w:szCs w:val="24"/>
        </w:rPr>
        <w:t>Companywho</w:t>
      </w:r>
      <w:proofErr w:type="spellEnd"/>
      <w:r w:rsidRPr="00280C17">
        <w:rPr>
          <w:rFonts w:ascii="Open Sans" w:eastAsia="Times New Roman" w:hAnsi="Open Sans" w:cs="Open Sans"/>
          <w:color w:val="5A5A5A"/>
          <w:sz w:val="24"/>
          <w:szCs w:val="24"/>
        </w:rPr>
        <w:t xml:space="preserve"> are primarily engaged in supplying the thermal and hydro energy to its customers but Tata itself is responsible to provide veracious means of energy or power to its customers including wind, solar, </w:t>
      </w:r>
      <w:proofErr w:type="gramStart"/>
      <w:r w:rsidRPr="00280C17">
        <w:rPr>
          <w:rFonts w:ascii="Open Sans" w:eastAsia="Times New Roman" w:hAnsi="Open Sans" w:cs="Open Sans"/>
          <w:color w:val="5A5A5A"/>
          <w:sz w:val="24"/>
          <w:szCs w:val="24"/>
        </w:rPr>
        <w:t>hydro</w:t>
      </w:r>
      <w:proofErr w:type="gramEnd"/>
      <w:r w:rsidRPr="00280C17">
        <w:rPr>
          <w:rFonts w:ascii="Open Sans" w:eastAsia="Times New Roman" w:hAnsi="Open Sans" w:cs="Open Sans"/>
          <w:color w:val="5A5A5A"/>
          <w:sz w:val="24"/>
          <w:szCs w:val="24"/>
        </w:rPr>
        <w:t xml:space="preserve"> and thermal.</w:t>
      </w:r>
    </w:p>
    <w:p w14:paraId="20EFA2C2" w14:textId="77777777" w:rsidR="00280C17" w:rsidRPr="00280C17" w:rsidRDefault="00280C17" w:rsidP="00280C17">
      <w:pPr>
        <w:numPr>
          <w:ilvl w:val="0"/>
          <w:numId w:val="3"/>
        </w:numPr>
        <w:shd w:val="clear" w:color="auto" w:fill="FFFFFF"/>
        <w:spacing w:before="100" w:beforeAutospacing="1" w:after="100" w:afterAutospacing="1" w:line="300" w:lineRule="atLeast"/>
        <w:ind w:left="1020"/>
        <w:rPr>
          <w:rFonts w:ascii="Open Sans" w:eastAsia="Times New Roman" w:hAnsi="Open Sans" w:cs="Open Sans"/>
          <w:color w:val="5A5A5A"/>
          <w:sz w:val="24"/>
          <w:szCs w:val="24"/>
        </w:rPr>
      </w:pPr>
      <w:r w:rsidRPr="00280C17">
        <w:rPr>
          <w:rFonts w:ascii="Open Sans" w:eastAsia="Times New Roman" w:hAnsi="Open Sans" w:cs="Open Sans"/>
          <w:b/>
          <w:bCs/>
          <w:color w:val="5A5A5A"/>
          <w:sz w:val="24"/>
          <w:szCs w:val="24"/>
        </w:rPr>
        <w:t xml:space="preserve">Bargaining power of </w:t>
      </w:r>
      <w:proofErr w:type="spellStart"/>
      <w:r w:rsidRPr="00280C17">
        <w:rPr>
          <w:rFonts w:ascii="Open Sans" w:eastAsia="Times New Roman" w:hAnsi="Open Sans" w:cs="Open Sans"/>
          <w:b/>
          <w:bCs/>
          <w:color w:val="5A5A5A"/>
          <w:sz w:val="24"/>
          <w:szCs w:val="24"/>
        </w:rPr>
        <w:t>buyers:</w:t>
      </w:r>
      <w:r w:rsidRPr="00280C17">
        <w:rPr>
          <w:rFonts w:ascii="Open Sans" w:eastAsia="Times New Roman" w:hAnsi="Open Sans" w:cs="Open Sans"/>
          <w:color w:val="5A5A5A"/>
          <w:sz w:val="24"/>
          <w:szCs w:val="24"/>
        </w:rPr>
        <w:t>it</w:t>
      </w:r>
      <w:proofErr w:type="spellEnd"/>
      <w:r w:rsidRPr="00280C17">
        <w:rPr>
          <w:rFonts w:ascii="Open Sans" w:eastAsia="Times New Roman" w:hAnsi="Open Sans" w:cs="Open Sans"/>
          <w:color w:val="5A5A5A"/>
          <w:sz w:val="24"/>
          <w:szCs w:val="24"/>
        </w:rPr>
        <w:t xml:space="preserve"> can be seen that the Tata power company became first largest player responsibly playing its role in the power industry, the customers are less likely to switch to </w:t>
      </w:r>
      <w:proofErr w:type="gramStart"/>
      <w:r w:rsidRPr="00280C17">
        <w:rPr>
          <w:rFonts w:ascii="Open Sans" w:eastAsia="Times New Roman" w:hAnsi="Open Sans" w:cs="Open Sans"/>
          <w:color w:val="5A5A5A"/>
          <w:sz w:val="24"/>
          <w:szCs w:val="24"/>
        </w:rPr>
        <w:t>another</w:t>
      </w:r>
      <w:proofErr w:type="gramEnd"/>
      <w:r w:rsidRPr="00280C17">
        <w:rPr>
          <w:rFonts w:ascii="Open Sans" w:eastAsia="Times New Roman" w:hAnsi="Open Sans" w:cs="Open Sans"/>
          <w:color w:val="5A5A5A"/>
          <w:sz w:val="24"/>
          <w:szCs w:val="24"/>
        </w:rPr>
        <w:t xml:space="preserve"> competitors because of the success of Tata in industry, and the customers </w:t>
      </w:r>
      <w:proofErr w:type="spellStart"/>
      <w:r w:rsidRPr="00280C17">
        <w:rPr>
          <w:rFonts w:ascii="Open Sans" w:eastAsia="Times New Roman" w:hAnsi="Open Sans" w:cs="Open Sans"/>
          <w:color w:val="5A5A5A"/>
          <w:sz w:val="24"/>
          <w:szCs w:val="24"/>
        </w:rPr>
        <w:t>alsoappreciate</w:t>
      </w:r>
      <w:proofErr w:type="spellEnd"/>
      <w:r w:rsidRPr="00280C17">
        <w:rPr>
          <w:rFonts w:ascii="Open Sans" w:eastAsia="Times New Roman" w:hAnsi="Open Sans" w:cs="Open Sans"/>
          <w:color w:val="5A5A5A"/>
          <w:sz w:val="24"/>
          <w:szCs w:val="24"/>
        </w:rPr>
        <w:t xml:space="preserve"> and end up paying a more for the power being supplied by Tata.</w:t>
      </w:r>
    </w:p>
    <w:p w14:paraId="2443BE86" w14:textId="77777777" w:rsidR="00280C17" w:rsidRPr="00280C17" w:rsidRDefault="00280C17" w:rsidP="00280C17">
      <w:pPr>
        <w:numPr>
          <w:ilvl w:val="0"/>
          <w:numId w:val="3"/>
        </w:numPr>
        <w:shd w:val="clear" w:color="auto" w:fill="FFFFFF"/>
        <w:spacing w:before="100" w:beforeAutospacing="1" w:after="100" w:afterAutospacing="1" w:line="300" w:lineRule="atLeast"/>
        <w:ind w:left="1020"/>
        <w:rPr>
          <w:rFonts w:ascii="Open Sans" w:eastAsia="Times New Roman" w:hAnsi="Open Sans" w:cs="Open Sans"/>
          <w:color w:val="5A5A5A"/>
          <w:sz w:val="24"/>
          <w:szCs w:val="24"/>
        </w:rPr>
      </w:pPr>
      <w:r w:rsidRPr="00280C17">
        <w:rPr>
          <w:rFonts w:ascii="Open Sans" w:eastAsia="Times New Roman" w:hAnsi="Open Sans" w:cs="Open Sans"/>
          <w:b/>
          <w:bCs/>
          <w:color w:val="5A5A5A"/>
          <w:sz w:val="24"/>
          <w:szCs w:val="24"/>
        </w:rPr>
        <w:t>Bargaining power of supplier: </w:t>
      </w:r>
      <w:r w:rsidRPr="00280C17">
        <w:rPr>
          <w:rFonts w:ascii="Open Sans" w:eastAsia="Times New Roman" w:hAnsi="Open Sans" w:cs="Open Sans"/>
          <w:color w:val="5A5A5A"/>
          <w:sz w:val="24"/>
          <w:szCs w:val="24"/>
        </w:rPr>
        <w:t>the bargaining power of supplier is limited</w:t>
      </w:r>
    </w:p>
    <w:p w14:paraId="55F0F08C" w14:textId="77777777" w:rsidR="00967913" w:rsidRDefault="00967913"/>
    <w:sectPr w:rsidR="009679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807EC"/>
    <w:multiLevelType w:val="multilevel"/>
    <w:tmpl w:val="191CACF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D4E1A"/>
    <w:multiLevelType w:val="multilevel"/>
    <w:tmpl w:val="F60E215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962DA"/>
    <w:multiLevelType w:val="multilevel"/>
    <w:tmpl w:val="212E287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67128356">
    <w:abstractNumId w:val="1"/>
  </w:num>
  <w:num w:numId="2" w16cid:durableId="547836568">
    <w:abstractNumId w:val="2"/>
  </w:num>
  <w:num w:numId="3" w16cid:durableId="170513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17"/>
    <w:rsid w:val="00280C17"/>
    <w:rsid w:val="0096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B14D"/>
  <w15:chartTrackingRefBased/>
  <w15:docId w15:val="{6D39F2DD-7CC0-4B8B-90D8-CD5CC2B9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0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0C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C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0C17"/>
    <w:rPr>
      <w:rFonts w:ascii="Times New Roman" w:eastAsia="Times New Roman" w:hAnsi="Times New Roman" w:cs="Times New Roman"/>
      <w:b/>
      <w:bCs/>
      <w:sz w:val="36"/>
      <w:szCs w:val="36"/>
    </w:rPr>
  </w:style>
  <w:style w:type="character" w:styleId="Strong">
    <w:name w:val="Strong"/>
    <w:basedOn w:val="DefaultParagraphFont"/>
    <w:uiPriority w:val="22"/>
    <w:qFormat/>
    <w:rsid w:val="00280C17"/>
    <w:rPr>
      <w:b/>
      <w:bCs/>
    </w:rPr>
  </w:style>
  <w:style w:type="character" w:styleId="Hyperlink">
    <w:name w:val="Hyperlink"/>
    <w:basedOn w:val="DefaultParagraphFont"/>
    <w:uiPriority w:val="99"/>
    <w:semiHidden/>
    <w:unhideWhenUsed/>
    <w:rsid w:val="00280C17"/>
    <w:rPr>
      <w:color w:val="0000FF"/>
      <w:u w:val="single"/>
    </w:rPr>
  </w:style>
  <w:style w:type="paragraph" w:styleId="NormalWeb">
    <w:name w:val="Normal (Web)"/>
    <w:basedOn w:val="Normal"/>
    <w:uiPriority w:val="99"/>
    <w:semiHidden/>
    <w:unhideWhenUsed/>
    <w:rsid w:val="00280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asesolutions.com/jim-lander-at-thamesford-logistics-3-147432" TargetMode="External"/><Relationship Id="rId5" Type="http://schemas.openxmlformats.org/officeDocument/2006/relationships/hyperlink" Target="https://www.thecasesolutions.com/the-return-of-the-loan-3-1498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Chahal</dc:creator>
  <cp:keywords/>
  <dc:description/>
  <cp:lastModifiedBy>Ajay Chahal</cp:lastModifiedBy>
  <cp:revision>1</cp:revision>
  <dcterms:created xsi:type="dcterms:W3CDTF">2022-05-09T19:37:00Z</dcterms:created>
  <dcterms:modified xsi:type="dcterms:W3CDTF">2022-05-09T19:37:00Z</dcterms:modified>
</cp:coreProperties>
</file>