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EB97" w14:textId="77777777" w:rsidR="00091B98" w:rsidRDefault="00091B98" w:rsidP="00091B98">
      <w:pPr>
        <w:pStyle w:val="Title"/>
        <w:rPr>
          <w:rStyle w:val="Heading3Char"/>
          <w:b w:val="0"/>
          <w:bCs w:val="0"/>
          <w:color w:val="2E74B5" w:themeColor="accent1" w:themeShade="BF"/>
          <w:szCs w:val="32"/>
        </w:rPr>
      </w:pPr>
      <w:commentRangeStart w:id="0"/>
      <w:r>
        <w:rPr>
          <w:rStyle w:val="Heading3Char"/>
          <w:b w:val="0"/>
          <w:bCs w:val="0"/>
          <w:color w:val="2E74B5" w:themeColor="accent1" w:themeShade="BF"/>
          <w:szCs w:val="32"/>
        </w:rPr>
        <w:t>Sample Lab Report</w:t>
      </w:r>
      <w:commentRangeEnd w:id="0"/>
      <w:r w:rsidR="00C05732">
        <w:rPr>
          <w:rStyle w:val="CommentReference"/>
          <w:rFonts w:ascii="Calibri" w:eastAsia="Times New Roman" w:hAnsi="Calibri" w:cs="Times New Roman"/>
          <w:spacing w:val="0"/>
          <w:kern w:val="0"/>
        </w:rPr>
        <w:commentReference w:id="0"/>
      </w:r>
    </w:p>
    <w:p w14:paraId="27C4E90E" w14:textId="77777777" w:rsidR="00091B98" w:rsidRDefault="00091B98" w:rsidP="00C36657">
      <w:pPr>
        <w:pStyle w:val="Heading1"/>
        <w:rPr>
          <w:rStyle w:val="Heading3Char"/>
          <w:b w:val="0"/>
          <w:bCs w:val="0"/>
          <w:color w:val="2E74B5" w:themeColor="accent1" w:themeShade="BF"/>
          <w:szCs w:val="32"/>
        </w:rPr>
      </w:pPr>
    </w:p>
    <w:p w14:paraId="482D98D3" w14:textId="77777777" w:rsidR="00C36657" w:rsidRPr="00C36657" w:rsidRDefault="00C36657" w:rsidP="00C36657">
      <w:pPr>
        <w:pStyle w:val="Heading1"/>
      </w:pPr>
      <w:r w:rsidRPr="00C36657">
        <w:rPr>
          <w:rStyle w:val="Heading3Char"/>
          <w:b w:val="0"/>
          <w:bCs w:val="0"/>
          <w:color w:val="2E74B5" w:themeColor="accent1" w:themeShade="BF"/>
          <w:szCs w:val="32"/>
        </w:rPr>
        <w:t xml:space="preserve">Aim </w:t>
      </w:r>
    </w:p>
    <w:p w14:paraId="184CAF38" w14:textId="77777777" w:rsidR="00C36657" w:rsidRDefault="00C36657" w:rsidP="00C36657">
      <w:pPr>
        <w:spacing w:line="100" w:lineRule="atLeast"/>
        <w:ind w:left="567"/>
        <w:rPr>
          <w:rFonts w:eastAsia="Calibri" w:cs="Calibri"/>
          <w:sz w:val="24"/>
        </w:rPr>
      </w:pPr>
    </w:p>
    <w:p w14:paraId="50EAC5A5" w14:textId="77777777" w:rsidR="008E7E05" w:rsidRDefault="00C36657" w:rsidP="00C36657">
      <w:pPr>
        <w:rPr>
          <w:rFonts w:eastAsia="Calibri"/>
        </w:rPr>
      </w:pPr>
      <w:r>
        <w:rPr>
          <w:rFonts w:eastAsia="Calibri"/>
        </w:rPr>
        <w:t xml:space="preserve">The term “beer goggles” refers to the widespread belief that the more alcohol </w:t>
      </w:r>
      <w:r w:rsidR="00F43A4C">
        <w:rPr>
          <w:rFonts w:eastAsia="Calibri"/>
        </w:rPr>
        <w:t>person has drunk, the more</w:t>
      </w:r>
      <w:r>
        <w:rPr>
          <w:rFonts w:eastAsia="Calibri"/>
        </w:rPr>
        <w:t xml:space="preserve"> generous their standards attractiveness become regarding their choice of partner (Field, 2011).  </w:t>
      </w:r>
    </w:p>
    <w:p w14:paraId="59AD1DA9" w14:textId="77777777" w:rsidR="00C36657" w:rsidRDefault="00C36657" w:rsidP="00C36657">
      <w:pPr>
        <w:rPr>
          <w:rFonts w:eastAsia="Calibri"/>
        </w:rPr>
      </w:pPr>
    </w:p>
    <w:p w14:paraId="6157CA9D" w14:textId="77777777" w:rsidR="00C36657" w:rsidRPr="00C36657" w:rsidRDefault="00F43A4C" w:rsidP="00C36657">
      <w:pPr>
        <w:rPr>
          <w:rFonts w:eastAsia="Calibri"/>
        </w:rPr>
      </w:pPr>
      <w:r>
        <w:rPr>
          <w:rFonts w:eastAsia="Calibri"/>
        </w:rPr>
        <w:t xml:space="preserve">For the purpose of this study, </w:t>
      </w:r>
      <w:r w:rsidR="00C36657">
        <w:rPr>
          <w:rFonts w:eastAsia="Calibri"/>
        </w:rPr>
        <w:t>“</w:t>
      </w:r>
      <w:r>
        <w:rPr>
          <w:rFonts w:eastAsia="Calibri"/>
        </w:rPr>
        <w:t>a</w:t>
      </w:r>
      <w:r w:rsidR="00C36657">
        <w:rPr>
          <w:rFonts w:eastAsia="Calibri"/>
        </w:rPr>
        <w:t xml:space="preserve">ttractiveness” </w:t>
      </w:r>
      <w:r>
        <w:rPr>
          <w:rFonts w:eastAsia="Calibri"/>
        </w:rPr>
        <w:t>will defined as the</w:t>
      </w:r>
      <w:r w:rsidR="00C36657">
        <w:rPr>
          <w:rFonts w:eastAsia="Calibri"/>
        </w:rPr>
        <w:t xml:space="preserve"> physical features that </w:t>
      </w:r>
      <w:r>
        <w:rPr>
          <w:rFonts w:eastAsia="Calibri"/>
        </w:rPr>
        <w:t>people tend to regard as making</w:t>
      </w:r>
      <w:r w:rsidR="00C36657">
        <w:rPr>
          <w:rFonts w:eastAsia="Calibri"/>
        </w:rPr>
        <w:t xml:space="preserve"> a potential partner desirable. </w:t>
      </w:r>
      <w:r w:rsidR="008E7E05">
        <w:rPr>
          <w:rFonts w:eastAsia="Calibri"/>
        </w:rPr>
        <w:t xml:space="preserve">“Partner” refers to a person who </w:t>
      </w:r>
      <w:r>
        <w:rPr>
          <w:rFonts w:eastAsia="Calibri"/>
        </w:rPr>
        <w:t>enters</w:t>
      </w:r>
      <w:r w:rsidR="008E7E05">
        <w:rPr>
          <w:rFonts w:eastAsia="Calibri"/>
        </w:rPr>
        <w:t xml:space="preserve"> into a mutually flirtatious relationship </w:t>
      </w:r>
      <w:r>
        <w:rPr>
          <w:rFonts w:eastAsia="Calibri"/>
        </w:rPr>
        <w:t>with someone</w:t>
      </w:r>
      <w:r w:rsidR="008E7E05">
        <w:rPr>
          <w:rFonts w:eastAsia="Calibri"/>
        </w:rPr>
        <w:t>.</w:t>
      </w:r>
    </w:p>
    <w:p w14:paraId="0004CA4C" w14:textId="77777777" w:rsidR="008E7E05" w:rsidRDefault="008E7E05" w:rsidP="008E7E05">
      <w:pPr>
        <w:rPr>
          <w:rFonts w:eastAsia="Calibri"/>
        </w:rPr>
      </w:pPr>
    </w:p>
    <w:p w14:paraId="52D1703E" w14:textId="77777777" w:rsidR="008E7E05" w:rsidRPr="008E7E05" w:rsidRDefault="008E7E05" w:rsidP="008E7E05">
      <w:pPr>
        <w:rPr>
          <w:rFonts w:eastAsia="Calibri"/>
        </w:rPr>
      </w:pPr>
      <w:r>
        <w:rPr>
          <w:rFonts w:eastAsia="Calibri"/>
        </w:rPr>
        <w:t xml:space="preserve">The attractiveness of partners </w:t>
      </w:r>
      <w:r w:rsidR="00F43A4C">
        <w:rPr>
          <w:rFonts w:eastAsia="Calibri"/>
        </w:rPr>
        <w:t>was</w:t>
      </w:r>
      <w:r>
        <w:rPr>
          <w:rFonts w:eastAsia="Calibri"/>
        </w:rPr>
        <w:t xml:space="preserve"> </w:t>
      </w:r>
      <w:r w:rsidR="00F43A4C">
        <w:rPr>
          <w:rFonts w:eastAsia="Calibri"/>
        </w:rPr>
        <w:t xml:space="preserve">measured by means of photographs rated </w:t>
      </w:r>
      <w:r w:rsidR="005C28F5">
        <w:rPr>
          <w:rFonts w:eastAsia="Calibri"/>
        </w:rPr>
        <w:t xml:space="preserve">by independent </w:t>
      </w:r>
      <w:proofErr w:type="spellStart"/>
      <w:r w:rsidR="005C28F5">
        <w:rPr>
          <w:rFonts w:eastAsia="Calibri"/>
        </w:rPr>
        <w:t>raters</w:t>
      </w:r>
      <w:proofErr w:type="spellEnd"/>
      <w:r w:rsidR="005C28F5">
        <w:rPr>
          <w:rFonts w:eastAsia="Calibri"/>
        </w:rPr>
        <w:t xml:space="preserve"> </w:t>
      </w:r>
      <w:r w:rsidR="00091B98">
        <w:rPr>
          <w:rFonts w:eastAsia="Calibri"/>
        </w:rPr>
        <w:t>on a scale from 0 to</w:t>
      </w:r>
      <w:r w:rsidR="005C28F5">
        <w:rPr>
          <w:rFonts w:eastAsia="Calibri"/>
        </w:rPr>
        <w:t xml:space="preserve"> 100</w:t>
      </w:r>
      <w:r>
        <w:rPr>
          <w:rFonts w:eastAsia="Calibri"/>
        </w:rPr>
        <w:t>.</w:t>
      </w:r>
      <w:r w:rsidR="005F498E">
        <w:rPr>
          <w:rFonts w:eastAsia="Calibri"/>
        </w:rPr>
        <w:t xml:space="preserve"> </w:t>
      </w:r>
      <w:r>
        <w:rPr>
          <w:rFonts w:eastAsia="Calibri"/>
        </w:rPr>
        <w:t xml:space="preserve">Alcohol consumption </w:t>
      </w:r>
      <w:r w:rsidR="00F43A4C">
        <w:rPr>
          <w:rFonts w:eastAsia="Calibri"/>
        </w:rPr>
        <w:t>was</w:t>
      </w:r>
      <w:r>
        <w:rPr>
          <w:rFonts w:eastAsia="Calibri"/>
        </w:rPr>
        <w:t xml:space="preserve"> measured in pints of beer</w:t>
      </w:r>
      <w:r w:rsidR="00F43A4C">
        <w:rPr>
          <w:rFonts w:eastAsia="Calibri"/>
        </w:rPr>
        <w:t>, with three possible values: 0 pints; 2 pints; and 4 pints.</w:t>
      </w:r>
    </w:p>
    <w:p w14:paraId="47CBE1ED" w14:textId="77777777" w:rsidR="008E7E05" w:rsidRDefault="008E7E05" w:rsidP="008E7E05">
      <w:pPr>
        <w:rPr>
          <w:rFonts w:eastAsia="Calibri"/>
        </w:rPr>
      </w:pPr>
    </w:p>
    <w:p w14:paraId="73A71BE8" w14:textId="77777777" w:rsidR="00F43A4C" w:rsidRDefault="00F43A4C" w:rsidP="00F43A4C">
      <w:pPr>
        <w:rPr>
          <w:rFonts w:eastAsia="Calibri"/>
        </w:rPr>
      </w:pPr>
      <w:r>
        <w:rPr>
          <w:rFonts w:eastAsia="Calibri"/>
        </w:rPr>
        <w:t xml:space="preserve">In this study, I tested the hypothesis that </w:t>
      </w:r>
      <w:r w:rsidR="0085337C">
        <w:rPr>
          <w:rFonts w:eastAsia="Calibri"/>
        </w:rPr>
        <w:t>the mean attractiveness-of-partner ratings</w:t>
      </w:r>
      <w:r w:rsidR="005C28F5">
        <w:rPr>
          <w:rFonts w:eastAsia="Calibri"/>
        </w:rPr>
        <w:t xml:space="preserve"> </w:t>
      </w:r>
      <w:r w:rsidR="0085337C">
        <w:rPr>
          <w:rFonts w:eastAsia="Calibri"/>
        </w:rPr>
        <w:t xml:space="preserve">of </w:t>
      </w:r>
      <w:r w:rsidR="005C28F5">
        <w:rPr>
          <w:rFonts w:eastAsia="Calibri"/>
        </w:rPr>
        <w:t xml:space="preserve">people </w:t>
      </w:r>
      <w:r w:rsidR="0085337C">
        <w:rPr>
          <w:rFonts w:eastAsia="Calibri"/>
        </w:rPr>
        <w:t>who drink</w:t>
      </w:r>
      <w:r w:rsidR="005C28F5">
        <w:rPr>
          <w:rFonts w:eastAsia="Calibri"/>
        </w:rPr>
        <w:t xml:space="preserve"> 0, 2 and 4 pints of beer respectively, differ.</w:t>
      </w:r>
      <w:r w:rsidR="0085337C">
        <w:rPr>
          <w:rFonts w:eastAsia="Calibri"/>
        </w:rPr>
        <w:t xml:space="preserve"> Specifically, I predicted that if the beer goggles effect is real, the group who drank the most alcohol would have a lower mean at</w:t>
      </w:r>
      <w:r w:rsidR="00091B98">
        <w:rPr>
          <w:rFonts w:eastAsia="Calibri"/>
        </w:rPr>
        <w:t>tractiveness-of-partner rating</w:t>
      </w:r>
      <w:r w:rsidR="0085337C">
        <w:rPr>
          <w:rFonts w:eastAsia="Calibri"/>
        </w:rPr>
        <w:t xml:space="preserve"> than the group who drank no alcohol.</w:t>
      </w:r>
    </w:p>
    <w:p w14:paraId="6CE6992D" w14:textId="77777777" w:rsidR="005C28F5" w:rsidRDefault="00C36657" w:rsidP="00091B98">
      <w:pPr>
        <w:pStyle w:val="Heading1"/>
        <w:rPr>
          <w:rFonts w:eastAsia="Calibri"/>
        </w:rPr>
      </w:pPr>
      <w:r>
        <w:rPr>
          <w:rFonts w:eastAsia="Calibri"/>
        </w:rPr>
        <w:t>Methods</w:t>
      </w:r>
      <w:r w:rsidR="00E9197A">
        <w:rPr>
          <w:rFonts w:eastAsia="Calibri"/>
        </w:rPr>
        <w:t xml:space="preserve"> </w:t>
      </w:r>
    </w:p>
    <w:p w14:paraId="658F43F7" w14:textId="77777777" w:rsidR="00091B98" w:rsidRPr="00091B98" w:rsidRDefault="00091B98" w:rsidP="00091B98">
      <w:pPr>
        <w:rPr>
          <w:rFonts w:eastAsia="Calibri"/>
        </w:rPr>
      </w:pPr>
    </w:p>
    <w:p w14:paraId="442F34DF" w14:textId="77777777" w:rsidR="005F498E" w:rsidRDefault="005C28F5" w:rsidP="00C36657">
      <w:pPr>
        <w:rPr>
          <w:rFonts w:eastAsia="Calibri"/>
        </w:rPr>
      </w:pPr>
      <w:r>
        <w:rPr>
          <w:rFonts w:eastAsia="Calibri"/>
        </w:rPr>
        <w:t>I downloaded data collected by Field (20</w:t>
      </w:r>
      <w:r w:rsidR="00091B98">
        <w:rPr>
          <w:rFonts w:eastAsia="Calibri"/>
        </w:rPr>
        <w:t>09</w:t>
      </w:r>
      <w:r>
        <w:rPr>
          <w:rFonts w:eastAsia="Calibri"/>
        </w:rPr>
        <w:t xml:space="preserve">). </w:t>
      </w:r>
    </w:p>
    <w:p w14:paraId="620C1631" w14:textId="77777777" w:rsidR="005F498E" w:rsidRDefault="005F498E" w:rsidP="00C36657">
      <w:pPr>
        <w:rPr>
          <w:rFonts w:eastAsia="Calibri"/>
        </w:rPr>
      </w:pPr>
    </w:p>
    <w:p w14:paraId="04BC4513" w14:textId="77777777" w:rsidR="005F498E" w:rsidRDefault="005F498E" w:rsidP="00C36657">
      <w:pPr>
        <w:rPr>
          <w:rFonts w:eastAsia="Calibri"/>
        </w:rPr>
      </w:pPr>
      <w:r w:rsidRPr="005F498E">
        <w:rPr>
          <w:rStyle w:val="Heading2Char"/>
        </w:rPr>
        <w:t>Participants</w:t>
      </w:r>
      <w:r>
        <w:rPr>
          <w:rFonts w:eastAsia="Calibri"/>
        </w:rPr>
        <w:t xml:space="preserve">: </w:t>
      </w:r>
    </w:p>
    <w:p w14:paraId="45B29343" w14:textId="77777777" w:rsidR="005F498E" w:rsidRDefault="005C28F5" w:rsidP="00C36657">
      <w:pPr>
        <w:rPr>
          <w:rFonts w:eastAsia="Calibri"/>
        </w:rPr>
      </w:pPr>
      <w:r>
        <w:rPr>
          <w:rFonts w:eastAsia="Calibri"/>
        </w:rPr>
        <w:t>Field recruited 48 participants (24 male) to a study, and randomly assigned each of them to one of three groups</w:t>
      </w:r>
      <w:r w:rsidR="005F498E">
        <w:rPr>
          <w:rFonts w:eastAsia="Calibri"/>
        </w:rPr>
        <w:t xml:space="preserve"> of 16 participants</w:t>
      </w:r>
      <w:r>
        <w:rPr>
          <w:rFonts w:eastAsia="Calibri"/>
        </w:rPr>
        <w:t xml:space="preserve">.  The randomisation was stratified by gender in order to ensure that </w:t>
      </w:r>
      <w:r w:rsidR="007C73C7">
        <w:rPr>
          <w:rFonts w:eastAsia="Calibri"/>
        </w:rPr>
        <w:t>the groups did not differ in their gender balance</w:t>
      </w:r>
      <w:r>
        <w:rPr>
          <w:rFonts w:eastAsia="Calibri"/>
        </w:rPr>
        <w:t xml:space="preserve">. </w:t>
      </w:r>
    </w:p>
    <w:p w14:paraId="6EC8555E" w14:textId="77777777" w:rsidR="006457EB" w:rsidRDefault="006457EB" w:rsidP="00C36657">
      <w:pPr>
        <w:rPr>
          <w:rFonts w:eastAsia="Calibri"/>
        </w:rPr>
      </w:pPr>
    </w:p>
    <w:p w14:paraId="167FE3CC" w14:textId="77777777" w:rsidR="005C28F5" w:rsidRDefault="005F498E" w:rsidP="005F498E">
      <w:pPr>
        <w:pStyle w:val="Heading2"/>
        <w:rPr>
          <w:rFonts w:eastAsia="Calibri"/>
        </w:rPr>
      </w:pPr>
      <w:r>
        <w:rPr>
          <w:rFonts w:eastAsia="Calibri"/>
        </w:rPr>
        <w:t>Procedure</w:t>
      </w:r>
      <w:r w:rsidR="005C28F5">
        <w:rPr>
          <w:rFonts w:eastAsia="Calibri"/>
        </w:rPr>
        <w:t xml:space="preserve"> </w:t>
      </w:r>
    </w:p>
    <w:p w14:paraId="4352CB45" w14:textId="77777777" w:rsidR="005C28F5" w:rsidRDefault="00091B98" w:rsidP="00C36657">
      <w:pPr>
        <w:rPr>
          <w:rFonts w:eastAsia="Calibri"/>
        </w:rPr>
      </w:pPr>
      <w:r>
        <w:rPr>
          <w:rFonts w:eastAsia="Calibri"/>
        </w:rPr>
        <w:t xml:space="preserve">The participants were </w:t>
      </w:r>
      <w:r w:rsidR="007C73C7">
        <w:rPr>
          <w:rFonts w:eastAsia="Calibri"/>
        </w:rPr>
        <w:t xml:space="preserve">sent to a night club and </w:t>
      </w:r>
      <w:r>
        <w:rPr>
          <w:rFonts w:eastAsia="Calibri"/>
        </w:rPr>
        <w:t xml:space="preserve">each group was instructed to </w:t>
      </w:r>
      <w:r w:rsidR="005C28F5">
        <w:rPr>
          <w:rFonts w:eastAsia="Calibri"/>
        </w:rPr>
        <w:t xml:space="preserve">drink a different number of pints of beer: 0 pints, 2 pints, and 4 pints.  Participants were instructed not to drink any other form of alcohol.  At the end of the evening, each participant’s dance partner was photographed.  </w:t>
      </w:r>
      <w:r w:rsidR="007C73C7">
        <w:rPr>
          <w:rFonts w:eastAsia="Calibri"/>
        </w:rPr>
        <w:t>These</w:t>
      </w:r>
      <w:r w:rsidR="005C28F5">
        <w:rPr>
          <w:rFonts w:eastAsia="Calibri"/>
        </w:rPr>
        <w:t xml:space="preserve"> photographs were </w:t>
      </w:r>
      <w:r w:rsidR="007C73C7">
        <w:rPr>
          <w:rFonts w:eastAsia="Calibri"/>
        </w:rPr>
        <w:t>later</w:t>
      </w:r>
      <w:r w:rsidR="005C28F5">
        <w:rPr>
          <w:rFonts w:eastAsia="Calibri"/>
        </w:rPr>
        <w:t xml:space="preserve"> rated by </w:t>
      </w:r>
      <w:r w:rsidR="005F498E">
        <w:rPr>
          <w:rFonts w:eastAsia="Calibri"/>
        </w:rPr>
        <w:t xml:space="preserve">independent </w:t>
      </w:r>
      <w:proofErr w:type="spellStart"/>
      <w:r w:rsidR="005F498E">
        <w:rPr>
          <w:rFonts w:eastAsia="Calibri"/>
        </w:rPr>
        <w:t>rater</w:t>
      </w:r>
      <w:r w:rsidR="007C73C7">
        <w:rPr>
          <w:rFonts w:eastAsia="Calibri"/>
        </w:rPr>
        <w:t>s</w:t>
      </w:r>
      <w:proofErr w:type="spellEnd"/>
      <w:r w:rsidR="007C73C7">
        <w:rPr>
          <w:rFonts w:eastAsia="Calibri"/>
        </w:rPr>
        <w:t xml:space="preserve">.  </w:t>
      </w:r>
      <w:r w:rsidR="005F498E">
        <w:rPr>
          <w:rFonts w:eastAsia="Calibri"/>
        </w:rPr>
        <w:t>For further details of participants and procedures</w:t>
      </w:r>
      <w:r w:rsidR="007C73C7">
        <w:rPr>
          <w:rFonts w:eastAsia="Calibri"/>
        </w:rPr>
        <w:t>,</w:t>
      </w:r>
      <w:r w:rsidR="005F498E">
        <w:rPr>
          <w:rFonts w:eastAsia="Calibri"/>
        </w:rPr>
        <w:t xml:space="preserve"> see Field (20</w:t>
      </w:r>
      <w:r>
        <w:rPr>
          <w:rFonts w:eastAsia="Calibri"/>
        </w:rPr>
        <w:t>09</w:t>
      </w:r>
      <w:r w:rsidR="005F498E">
        <w:rPr>
          <w:rFonts w:eastAsia="Calibri"/>
        </w:rPr>
        <w:t>).</w:t>
      </w:r>
    </w:p>
    <w:p w14:paraId="5A4CFED1" w14:textId="77777777" w:rsidR="005F498E" w:rsidRDefault="005F498E" w:rsidP="00C36657">
      <w:pPr>
        <w:rPr>
          <w:rFonts w:eastAsia="Calibri"/>
        </w:rPr>
      </w:pPr>
    </w:p>
    <w:p w14:paraId="56D86F37" w14:textId="77777777" w:rsidR="005F498E" w:rsidRDefault="005F498E" w:rsidP="005F498E">
      <w:pPr>
        <w:pStyle w:val="Heading2"/>
        <w:rPr>
          <w:rFonts w:eastAsia="Calibri"/>
        </w:rPr>
      </w:pPr>
      <w:r>
        <w:rPr>
          <w:rFonts w:eastAsia="Calibri"/>
        </w:rPr>
        <w:t>Statistical analysis</w:t>
      </w:r>
      <w:r w:rsidR="00E9197A">
        <w:rPr>
          <w:rFonts w:eastAsia="Calibri"/>
        </w:rPr>
        <w:t xml:space="preserve"> </w:t>
      </w:r>
    </w:p>
    <w:p w14:paraId="482F8246" w14:textId="77777777" w:rsidR="00CD5CD4" w:rsidRDefault="007C73C7" w:rsidP="00CD5CD4">
      <w:pPr>
        <w:rPr>
          <w:rFonts w:eastAsia="Calibri"/>
        </w:rPr>
      </w:pPr>
      <w:r>
        <w:rPr>
          <w:rFonts w:eastAsia="Calibri"/>
        </w:rPr>
        <w:t>The</w:t>
      </w:r>
      <w:r w:rsidR="00E9197A">
        <w:rPr>
          <w:rFonts w:eastAsia="Calibri"/>
        </w:rPr>
        <w:t xml:space="preserve"> dependent variable was the </w:t>
      </w:r>
      <w:r w:rsidR="00091B98">
        <w:rPr>
          <w:rFonts w:eastAsia="Calibri"/>
        </w:rPr>
        <w:t>a</w:t>
      </w:r>
      <w:r w:rsidR="00E9197A">
        <w:rPr>
          <w:rFonts w:eastAsia="Calibri"/>
        </w:rPr>
        <w:t>ttractiveness</w:t>
      </w:r>
      <w:r w:rsidR="00091B98">
        <w:rPr>
          <w:rFonts w:eastAsia="Calibri"/>
        </w:rPr>
        <w:t>-of-partner</w:t>
      </w:r>
      <w:r w:rsidR="00E9197A">
        <w:rPr>
          <w:rFonts w:eastAsia="Calibri"/>
        </w:rPr>
        <w:t xml:space="preserve"> score for each participant. I tested the null hypothesis that the mean </w:t>
      </w:r>
      <w:r>
        <w:rPr>
          <w:rFonts w:eastAsia="Calibri"/>
        </w:rPr>
        <w:t>for people</w:t>
      </w:r>
      <w:r w:rsidR="00E9197A">
        <w:rPr>
          <w:rFonts w:eastAsia="Calibri"/>
        </w:rPr>
        <w:t xml:space="preserve"> who dr</w:t>
      </w:r>
      <w:r>
        <w:rPr>
          <w:rFonts w:eastAsia="Calibri"/>
        </w:rPr>
        <w:t>i</w:t>
      </w:r>
      <w:r w:rsidR="00E9197A">
        <w:rPr>
          <w:rFonts w:eastAsia="Calibri"/>
        </w:rPr>
        <w:t>nk 0, 2 and 4 pints of beer</w:t>
      </w:r>
      <w:r>
        <w:rPr>
          <w:rFonts w:eastAsia="Calibri"/>
        </w:rPr>
        <w:t>, respectively,</w:t>
      </w:r>
      <w:r w:rsidR="00E9197A">
        <w:rPr>
          <w:rFonts w:eastAsia="Calibri"/>
        </w:rPr>
        <w:t xml:space="preserve"> are the same.  To test this null I </w:t>
      </w:r>
      <w:r w:rsidR="005169C9">
        <w:rPr>
          <w:rFonts w:eastAsia="Calibri"/>
        </w:rPr>
        <w:t>use</w:t>
      </w:r>
      <w:r w:rsidR="00091B98">
        <w:rPr>
          <w:rFonts w:eastAsia="Calibri"/>
        </w:rPr>
        <w:t>d</w:t>
      </w:r>
      <w:r w:rsidR="00E9197A">
        <w:rPr>
          <w:rFonts w:eastAsia="Calibri"/>
        </w:rPr>
        <w:t xml:space="preserve"> a one-way ANOVA with one between-subjects factor (Alcohol) with three levels (0 pints; 2 pints; 4 pints).</w:t>
      </w:r>
      <w:r w:rsidR="005169C9">
        <w:rPr>
          <w:rFonts w:eastAsia="Calibri"/>
        </w:rPr>
        <w:t xml:space="preserve">  If this ANOVA indicated that the null hypothesis should be rejected, I planned to conduct </w:t>
      </w:r>
      <w:r w:rsidR="006457EB">
        <w:rPr>
          <w:rFonts w:eastAsia="Calibri"/>
        </w:rPr>
        <w:t>Bonferroni</w:t>
      </w:r>
      <w:r w:rsidR="005169C9">
        <w:rPr>
          <w:rFonts w:eastAsia="Calibri"/>
        </w:rPr>
        <w:t xml:space="preserve"> </w:t>
      </w:r>
      <w:r w:rsidR="005169C9" w:rsidRPr="00091B98">
        <w:rPr>
          <w:rFonts w:eastAsia="Calibri"/>
          <w:i/>
        </w:rPr>
        <w:t>post hoc</w:t>
      </w:r>
      <w:r w:rsidR="005169C9">
        <w:rPr>
          <w:rFonts w:eastAsia="Calibri"/>
        </w:rPr>
        <w:t xml:space="preserve"> tests to determine</w:t>
      </w:r>
      <w:r w:rsidR="00CD5CD4">
        <w:rPr>
          <w:rFonts w:eastAsia="Calibri"/>
        </w:rPr>
        <w:t xml:space="preserve"> </w:t>
      </w:r>
      <w:r w:rsidR="005169C9">
        <w:rPr>
          <w:rFonts w:eastAsia="Calibri"/>
        </w:rPr>
        <w:t xml:space="preserve">which pairs of </w:t>
      </w:r>
      <w:r w:rsidR="005C1090">
        <w:rPr>
          <w:rFonts w:eastAsia="Calibri"/>
        </w:rPr>
        <w:t xml:space="preserve">group </w:t>
      </w:r>
      <w:r w:rsidR="005169C9">
        <w:rPr>
          <w:rFonts w:eastAsia="Calibri"/>
        </w:rPr>
        <w:t>mean</w:t>
      </w:r>
      <w:r w:rsidR="005C1090">
        <w:rPr>
          <w:rFonts w:eastAsia="Calibri"/>
        </w:rPr>
        <w:t>s</w:t>
      </w:r>
      <w:r w:rsidR="005169C9">
        <w:rPr>
          <w:rFonts w:eastAsia="Calibri"/>
        </w:rPr>
        <w:t xml:space="preserve"> were significantly different. </w:t>
      </w:r>
      <w:r w:rsidR="006457EB">
        <w:rPr>
          <w:rFonts w:eastAsia="Calibri"/>
        </w:rPr>
        <w:t xml:space="preserve"> I calculated that for an alpha criterion of .02 (0.5 divided by 2 comparisons, my sample size gave me 5% power to detect a small effect</w:t>
      </w:r>
      <w:r w:rsidR="00A9581C">
        <w:rPr>
          <w:rFonts w:eastAsia="Calibri"/>
        </w:rPr>
        <w:t xml:space="preserve"> size (</w:t>
      </w:r>
      <w:r w:rsidR="00A9581C" w:rsidRPr="00A9581C">
        <w:rPr>
          <w:rFonts w:eastAsia="Calibri"/>
          <w:i/>
        </w:rPr>
        <w:t>d</w:t>
      </w:r>
      <w:r w:rsidR="00A9581C">
        <w:rPr>
          <w:rFonts w:eastAsia="Calibri"/>
        </w:rPr>
        <w:t>=0.2)</w:t>
      </w:r>
      <w:r w:rsidR="006457EB">
        <w:rPr>
          <w:rFonts w:eastAsia="Calibri"/>
        </w:rPr>
        <w:t>, 23% power to detect a medium effect</w:t>
      </w:r>
      <w:r w:rsidR="00A9581C">
        <w:rPr>
          <w:rFonts w:eastAsia="Calibri"/>
        </w:rPr>
        <w:t xml:space="preserve"> size (</w:t>
      </w:r>
      <w:r w:rsidR="00A9581C" w:rsidRPr="00A9581C">
        <w:rPr>
          <w:rFonts w:eastAsia="Calibri"/>
          <w:i/>
        </w:rPr>
        <w:t>d</w:t>
      </w:r>
      <w:r w:rsidR="00A9581C">
        <w:rPr>
          <w:rFonts w:eastAsia="Calibri"/>
        </w:rPr>
        <w:t>=0.5)</w:t>
      </w:r>
      <w:r w:rsidR="006457EB">
        <w:rPr>
          <w:rFonts w:eastAsia="Calibri"/>
        </w:rPr>
        <w:t>, and 58%</w:t>
      </w:r>
      <w:r w:rsidR="00A9581C">
        <w:rPr>
          <w:rFonts w:eastAsia="Calibri"/>
        </w:rPr>
        <w:t xml:space="preserve"> power to detect a large effect (</w:t>
      </w:r>
      <w:r w:rsidR="00A9581C" w:rsidRPr="00A9581C">
        <w:rPr>
          <w:rFonts w:eastAsia="Calibri"/>
          <w:i/>
        </w:rPr>
        <w:t>d</w:t>
      </w:r>
      <w:r w:rsidR="00A9581C">
        <w:rPr>
          <w:rFonts w:eastAsia="Calibri"/>
        </w:rPr>
        <w:t>=0.8).</w:t>
      </w:r>
    </w:p>
    <w:p w14:paraId="61A5837B" w14:textId="77777777" w:rsidR="00CD5CD4" w:rsidRDefault="00CD5CD4" w:rsidP="00CD5CD4">
      <w:pPr>
        <w:rPr>
          <w:rFonts w:eastAsia="Calibri"/>
        </w:rPr>
      </w:pPr>
    </w:p>
    <w:p w14:paraId="25B1ED89" w14:textId="77777777" w:rsidR="00CD5CD4" w:rsidRDefault="005169C9" w:rsidP="00CD5CD4">
      <w:pPr>
        <w:rPr>
          <w:rFonts w:eastAsia="Calibri"/>
        </w:rPr>
      </w:pPr>
      <w:r>
        <w:rPr>
          <w:rFonts w:eastAsia="Calibri"/>
        </w:rPr>
        <w:lastRenderedPageBreak/>
        <w:t>T</w:t>
      </w:r>
      <w:r w:rsidR="00F34C62">
        <w:rPr>
          <w:rFonts w:eastAsia="Calibri"/>
        </w:rPr>
        <w:t xml:space="preserve">he validity of an ANOVA depends on the assumption that the variances </w:t>
      </w:r>
      <w:r w:rsidR="00CD5CD4">
        <w:rPr>
          <w:rFonts w:eastAsia="Calibri"/>
        </w:rPr>
        <w:t>in the dependent variable do not differ</w:t>
      </w:r>
      <w:r w:rsidR="00F34C62">
        <w:rPr>
          <w:rFonts w:eastAsia="Calibri"/>
        </w:rPr>
        <w:t xml:space="preserve"> between groups, and that the resi</w:t>
      </w:r>
      <w:r>
        <w:rPr>
          <w:rFonts w:eastAsia="Calibri"/>
        </w:rPr>
        <w:t xml:space="preserve">duals are normally distributed.  </w:t>
      </w:r>
      <w:r w:rsidR="007C73C7">
        <w:rPr>
          <w:rFonts w:eastAsia="Calibri"/>
        </w:rPr>
        <w:t xml:space="preserve">I </w:t>
      </w:r>
      <w:r w:rsidR="00EF6E27">
        <w:rPr>
          <w:rFonts w:eastAsia="Calibri"/>
        </w:rPr>
        <w:t xml:space="preserve">used the Explore function in SPSS to </w:t>
      </w:r>
      <w:r w:rsidR="00F34C62">
        <w:rPr>
          <w:rFonts w:eastAsia="Calibri"/>
        </w:rPr>
        <w:t xml:space="preserve">examine the data from each group for potential outliers or non-normal distributions.  </w:t>
      </w:r>
      <w:r w:rsidR="007C73C7">
        <w:rPr>
          <w:rFonts w:eastAsia="Calibri"/>
        </w:rPr>
        <w:t>Then, f</w:t>
      </w:r>
      <w:r w:rsidR="00E9197A">
        <w:rPr>
          <w:rFonts w:eastAsia="Calibri"/>
        </w:rPr>
        <w:t xml:space="preserve">ollowing an initial ANOVA, </w:t>
      </w:r>
      <w:r w:rsidR="005F498E">
        <w:rPr>
          <w:rFonts w:eastAsia="Calibri"/>
        </w:rPr>
        <w:t xml:space="preserve">I </w:t>
      </w:r>
      <w:r w:rsidR="00CD5CD4">
        <w:rPr>
          <w:rFonts w:eastAsia="Calibri"/>
        </w:rPr>
        <w:t xml:space="preserve">then </w:t>
      </w:r>
      <w:r w:rsidR="00E9197A">
        <w:rPr>
          <w:rFonts w:eastAsia="Calibri"/>
        </w:rPr>
        <w:t>tested</w:t>
      </w:r>
      <w:r w:rsidR="00EF6E27">
        <w:rPr>
          <w:rFonts w:eastAsia="Calibri"/>
        </w:rPr>
        <w:t xml:space="preserve"> </w:t>
      </w:r>
      <w:r w:rsidR="00F34C62">
        <w:rPr>
          <w:rFonts w:eastAsia="Calibri"/>
        </w:rPr>
        <w:t>the</w:t>
      </w:r>
      <w:r w:rsidR="00EF6E27">
        <w:rPr>
          <w:rFonts w:eastAsia="Calibri"/>
        </w:rPr>
        <w:t xml:space="preserve"> assumption </w:t>
      </w:r>
      <w:r w:rsidR="00F34C62">
        <w:rPr>
          <w:rFonts w:eastAsia="Calibri"/>
        </w:rPr>
        <w:t xml:space="preserve">of homogeneity </w:t>
      </w:r>
      <w:r w:rsidR="00EF6E27">
        <w:rPr>
          <w:rFonts w:eastAsia="Calibri"/>
        </w:rPr>
        <w:t xml:space="preserve">variance using </w:t>
      </w:r>
      <w:proofErr w:type="spellStart"/>
      <w:r w:rsidR="00EF6E27">
        <w:rPr>
          <w:rFonts w:eastAsia="Calibri"/>
        </w:rPr>
        <w:t>Levene’s</w:t>
      </w:r>
      <w:proofErr w:type="spellEnd"/>
      <w:r w:rsidR="00EF6E27">
        <w:rPr>
          <w:rFonts w:eastAsia="Calibri"/>
        </w:rPr>
        <w:t xml:space="preserve"> test.  I saved the normalised residuals from my ANOVA</w:t>
      </w:r>
      <w:r w:rsidR="007C73C7">
        <w:rPr>
          <w:rFonts w:eastAsia="Calibri"/>
        </w:rPr>
        <w:t xml:space="preserve">.  I defined an outlier as </w:t>
      </w:r>
      <w:r w:rsidR="00EF6E27">
        <w:rPr>
          <w:rFonts w:eastAsia="Calibri"/>
        </w:rPr>
        <w:t xml:space="preserve">a normalised residual greater than 3 or less than -3. </w:t>
      </w:r>
      <w:r w:rsidR="00CD5CD4">
        <w:rPr>
          <w:rFonts w:eastAsia="Calibri"/>
        </w:rPr>
        <w:t xml:space="preserve"> </w:t>
      </w:r>
      <w:r w:rsidR="00E9197A">
        <w:rPr>
          <w:rFonts w:eastAsia="Calibri"/>
        </w:rPr>
        <w:t xml:space="preserve">Any participant </w:t>
      </w:r>
      <w:r w:rsidR="00CD5CD4">
        <w:rPr>
          <w:rFonts w:eastAsia="Calibri"/>
        </w:rPr>
        <w:t xml:space="preserve">with a </w:t>
      </w:r>
      <w:r w:rsidR="00E9197A">
        <w:rPr>
          <w:rFonts w:eastAsia="Calibri"/>
        </w:rPr>
        <w:t xml:space="preserve">residual </w:t>
      </w:r>
      <w:r w:rsidR="00CD5CD4">
        <w:rPr>
          <w:rFonts w:eastAsia="Calibri"/>
        </w:rPr>
        <w:t>outside this range</w:t>
      </w:r>
      <w:r w:rsidR="00E9197A">
        <w:rPr>
          <w:rFonts w:eastAsia="Calibri"/>
        </w:rPr>
        <w:t xml:space="preserve"> would be discarded. </w:t>
      </w:r>
      <w:r w:rsidR="00EF6E27">
        <w:rPr>
          <w:rFonts w:eastAsia="Calibri"/>
        </w:rPr>
        <w:t xml:space="preserve"> I </w:t>
      </w:r>
      <w:r w:rsidR="00E9197A">
        <w:rPr>
          <w:rFonts w:eastAsia="Calibri"/>
        </w:rPr>
        <w:t xml:space="preserve">then </w:t>
      </w:r>
      <w:r w:rsidR="00EF6E27">
        <w:rPr>
          <w:rFonts w:eastAsia="Calibri"/>
        </w:rPr>
        <w:t xml:space="preserve">used the “Explore” menu in SPSS </w:t>
      </w:r>
      <w:r w:rsidR="007C73C7">
        <w:rPr>
          <w:rFonts w:eastAsia="Calibri"/>
        </w:rPr>
        <w:t xml:space="preserve">to analyse the residuals.  I visually examined </w:t>
      </w:r>
      <w:r w:rsidR="00EF6E27">
        <w:rPr>
          <w:rFonts w:eastAsia="Calibri"/>
        </w:rPr>
        <w:t xml:space="preserve">boxplots </w:t>
      </w:r>
      <w:r w:rsidR="00E9197A">
        <w:rPr>
          <w:rFonts w:eastAsia="Calibri"/>
        </w:rPr>
        <w:t xml:space="preserve">and histograms, and tested the distribution for normality using </w:t>
      </w:r>
      <w:r w:rsidR="00EF6E27">
        <w:rPr>
          <w:rFonts w:eastAsia="Calibri"/>
        </w:rPr>
        <w:t>Shapiro-Wilk’</w:t>
      </w:r>
      <w:r w:rsidR="00E9197A">
        <w:rPr>
          <w:rFonts w:eastAsia="Calibri"/>
        </w:rPr>
        <w:t xml:space="preserve">s test. </w:t>
      </w:r>
      <w:r w:rsidR="00EF6E27">
        <w:rPr>
          <w:rFonts w:eastAsia="Calibri"/>
        </w:rPr>
        <w:t>Th</w:t>
      </w:r>
      <w:r w:rsidR="00E9197A">
        <w:rPr>
          <w:rFonts w:eastAsia="Calibri"/>
        </w:rPr>
        <w:t>e Explore function</w:t>
      </w:r>
      <w:r w:rsidR="00EF6E27">
        <w:rPr>
          <w:rFonts w:eastAsia="Calibri"/>
        </w:rPr>
        <w:t xml:space="preserve"> also gives an estimate</w:t>
      </w:r>
      <w:r w:rsidR="00E9197A">
        <w:rPr>
          <w:rFonts w:eastAsia="Calibri"/>
        </w:rPr>
        <w:t>s</w:t>
      </w:r>
      <w:r w:rsidR="00EF6E27">
        <w:rPr>
          <w:rFonts w:eastAsia="Calibri"/>
        </w:rPr>
        <w:t xml:space="preserve"> of skewness and kurtosis</w:t>
      </w:r>
      <w:r w:rsidR="00E9197A">
        <w:rPr>
          <w:rFonts w:eastAsia="Calibri"/>
        </w:rPr>
        <w:t xml:space="preserve"> which is useful for diagnosing any departure with normality</w:t>
      </w:r>
      <w:r w:rsidR="00CD5CD4">
        <w:rPr>
          <w:rFonts w:eastAsia="Calibri"/>
        </w:rPr>
        <w:t xml:space="preserve">, and </w:t>
      </w:r>
      <w:r w:rsidR="007C73C7">
        <w:rPr>
          <w:rFonts w:eastAsia="Calibri"/>
        </w:rPr>
        <w:t xml:space="preserve">for </w:t>
      </w:r>
      <w:r w:rsidR="00CD5CD4">
        <w:rPr>
          <w:rFonts w:eastAsia="Calibri"/>
        </w:rPr>
        <w:t>suggesting an appropriate transform to correct the distribution</w:t>
      </w:r>
      <w:r w:rsidR="00E9197A">
        <w:rPr>
          <w:rFonts w:eastAsia="Calibri"/>
        </w:rPr>
        <w:t>.</w:t>
      </w:r>
      <w:r w:rsidR="00EF6E27">
        <w:rPr>
          <w:rFonts w:eastAsia="Calibri"/>
        </w:rPr>
        <w:t xml:space="preserve">   </w:t>
      </w:r>
    </w:p>
    <w:p w14:paraId="35F2712B" w14:textId="77777777" w:rsidR="00CD5CD4" w:rsidRDefault="00CD5CD4" w:rsidP="00CD5CD4">
      <w:pPr>
        <w:rPr>
          <w:rFonts w:eastAsia="Calibri"/>
        </w:rPr>
      </w:pPr>
    </w:p>
    <w:p w14:paraId="30EC54A4" w14:textId="77777777" w:rsidR="00CD5CD4" w:rsidRDefault="007C73C7" w:rsidP="00CD5CD4">
      <w:pPr>
        <w:rPr>
          <w:rFonts w:eastAsia="Calibri"/>
        </w:rPr>
      </w:pPr>
      <w:r>
        <w:rPr>
          <w:rFonts w:eastAsia="Calibri"/>
        </w:rPr>
        <w:t>If these</w:t>
      </w:r>
      <w:r w:rsidR="00CD5CD4">
        <w:rPr>
          <w:rFonts w:eastAsia="Calibri"/>
        </w:rPr>
        <w:t xml:space="preserve"> </w:t>
      </w:r>
      <w:r>
        <w:rPr>
          <w:rFonts w:eastAsia="Calibri"/>
        </w:rPr>
        <w:t xml:space="preserve">checks indicated that the </w:t>
      </w:r>
      <w:r w:rsidR="00CD5CD4">
        <w:rPr>
          <w:rFonts w:eastAsia="Calibri"/>
        </w:rPr>
        <w:t xml:space="preserve">assumptions </w:t>
      </w:r>
      <w:r>
        <w:rPr>
          <w:rFonts w:eastAsia="Calibri"/>
        </w:rPr>
        <w:t xml:space="preserve">of the ANOVA </w:t>
      </w:r>
      <w:r w:rsidR="00CD5CD4">
        <w:rPr>
          <w:rFonts w:eastAsia="Calibri"/>
        </w:rPr>
        <w:t xml:space="preserve">were violated, and </w:t>
      </w:r>
      <w:r>
        <w:rPr>
          <w:rFonts w:eastAsia="Calibri"/>
        </w:rPr>
        <w:t xml:space="preserve">that </w:t>
      </w:r>
      <w:r w:rsidR="00CD5CD4">
        <w:rPr>
          <w:rFonts w:eastAsia="Calibri"/>
        </w:rPr>
        <w:t xml:space="preserve">no obvious transformation of the data was likely to correct the distribution, my strategy was to use boot-strapped post hoc confidence intervals for the pairwise differences between group means.  I performed all analyses </w:t>
      </w:r>
      <w:r w:rsidR="00CD5CD4">
        <w:t>using SPSS version 21.0 (IBM Corp, 2012)</w:t>
      </w:r>
      <w:r w:rsidR="00091B98">
        <w:t>.</w:t>
      </w:r>
    </w:p>
    <w:p w14:paraId="7577DF22" w14:textId="77777777" w:rsidR="00C36657" w:rsidRDefault="00C36657" w:rsidP="00E9197A">
      <w:pPr>
        <w:pStyle w:val="Heading1"/>
        <w:rPr>
          <w:rFonts w:eastAsia="Calibri"/>
          <w:sz w:val="22"/>
        </w:rPr>
      </w:pPr>
      <w:r>
        <w:rPr>
          <w:rFonts w:eastAsia="Calibri"/>
        </w:rPr>
        <w:t xml:space="preserve">Results </w:t>
      </w:r>
    </w:p>
    <w:p w14:paraId="12B8071A" w14:textId="77777777" w:rsidR="00E9197A" w:rsidRDefault="00E9197A" w:rsidP="00C36657">
      <w:pPr>
        <w:rPr>
          <w:rFonts w:eastAsia="Calibri"/>
        </w:rPr>
      </w:pPr>
    </w:p>
    <w:p w14:paraId="38F52BB7" w14:textId="77777777" w:rsidR="00F71EFD" w:rsidRDefault="00F71EFD" w:rsidP="00F71EFD">
      <w:pPr>
        <w:rPr>
          <w:rFonts w:eastAsia="Calibri"/>
        </w:rPr>
      </w:pPr>
      <w:r>
        <w:rPr>
          <w:rFonts w:eastAsia="Calibri"/>
        </w:rPr>
        <w:t xml:space="preserve">The mean attractiveness-of-partner scores are shown graphically in </w:t>
      </w:r>
      <w:r>
        <w:rPr>
          <w:rFonts w:eastAsia="Calibri"/>
        </w:rPr>
        <w:fldChar w:fldCharType="begin"/>
      </w:r>
      <w:r>
        <w:rPr>
          <w:rFonts w:eastAsia="Calibri"/>
        </w:rPr>
        <w:instrText xml:space="preserve"> REF _Ref476692136 \h </w:instrText>
      </w:r>
      <w:r>
        <w:rPr>
          <w:rFonts w:eastAsia="Calibri"/>
        </w:rPr>
      </w:r>
      <w:r>
        <w:rPr>
          <w:rFonts w:eastAsia="Calibri"/>
        </w:rPr>
        <w:fldChar w:fldCharType="separate"/>
      </w:r>
      <w:r>
        <w:t xml:space="preserve">Figure </w:t>
      </w:r>
      <w:r>
        <w:rPr>
          <w:noProof/>
        </w:rPr>
        <w:t>I</w:t>
      </w:r>
      <w:r>
        <w:rPr>
          <w:rFonts w:eastAsia="Calibri"/>
        </w:rPr>
        <w:fldChar w:fldCharType="end"/>
      </w:r>
      <w:r>
        <w:rPr>
          <w:rFonts w:eastAsia="Calibri"/>
        </w:rPr>
        <w:t>.</w:t>
      </w:r>
    </w:p>
    <w:p w14:paraId="309AD8F5" w14:textId="77777777" w:rsidR="00F71EFD" w:rsidRDefault="00F71EFD" w:rsidP="00F71EFD">
      <w:pPr>
        <w:rPr>
          <w:rFonts w:eastAsia="Calibri"/>
        </w:rPr>
      </w:pPr>
    </w:p>
    <w:p w14:paraId="3F8201CD" w14:textId="77777777" w:rsidR="00F71EFD" w:rsidRDefault="007E434D" w:rsidP="00F71EFD">
      <w:pPr>
        <w:widowControl/>
        <w:suppressAutoHyphens w:val="0"/>
        <w:autoSpaceDE w:val="0"/>
        <w:autoSpaceDN w:val="0"/>
        <w:adjustRightInd w:val="0"/>
        <w:rPr>
          <w:rFonts w:ascii="Times New Roman" w:eastAsiaTheme="minorHAnsi" w:hAnsi="Times New Roman"/>
          <w:sz w:val="24"/>
          <w:szCs w:val="24"/>
          <w:lang w:eastAsia="en-US"/>
        </w:rPr>
      </w:pPr>
      <w:r>
        <w:rPr>
          <w:noProof/>
          <w:lang w:eastAsia="zh-CN"/>
        </w:rPr>
        <w:drawing>
          <wp:inline distT="0" distB="0" distL="0" distR="0" wp14:anchorId="4BADC2F0" wp14:editId="641C590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8BE44B" w14:textId="77777777" w:rsidR="00F71EFD" w:rsidRDefault="00F71EFD" w:rsidP="00F71EFD">
      <w:pPr>
        <w:widowControl/>
        <w:suppressAutoHyphens w:val="0"/>
        <w:autoSpaceDE w:val="0"/>
        <w:autoSpaceDN w:val="0"/>
        <w:adjustRightInd w:val="0"/>
        <w:rPr>
          <w:rFonts w:ascii="Times New Roman" w:eastAsiaTheme="minorHAnsi" w:hAnsi="Times New Roman"/>
          <w:sz w:val="24"/>
          <w:szCs w:val="24"/>
          <w:lang w:eastAsia="en-US"/>
        </w:rPr>
      </w:pPr>
    </w:p>
    <w:p w14:paraId="06C214C0" w14:textId="77777777" w:rsidR="00F71EFD" w:rsidRDefault="00F71EFD" w:rsidP="00F71EFD">
      <w:pPr>
        <w:pStyle w:val="Caption"/>
        <w:rPr>
          <w:rFonts w:eastAsia="Calibri"/>
        </w:rPr>
      </w:pPr>
      <w:bookmarkStart w:id="1" w:name="_Ref476692136"/>
      <w:r>
        <w:t xml:space="preserve">Figure </w:t>
      </w:r>
      <w:fldSimple w:instr=" SEQ Figure \* ROMAN ">
        <w:r>
          <w:rPr>
            <w:noProof/>
          </w:rPr>
          <w:t>I</w:t>
        </w:r>
      </w:fldSimple>
      <w:bookmarkEnd w:id="1"/>
      <w:r>
        <w:t>: mean attractiveness-of-partner scores for each group.</w:t>
      </w:r>
      <w:r w:rsidR="007E434D">
        <w:t xml:space="preserve"> Error bars are 95% Confidence Inte</w:t>
      </w:r>
      <w:r w:rsidR="002E2479">
        <w:t>r</w:t>
      </w:r>
      <w:r w:rsidR="007E434D">
        <w:t>vals</w:t>
      </w:r>
    </w:p>
    <w:p w14:paraId="5EA2B4D5" w14:textId="77777777" w:rsidR="00F71EFD" w:rsidRDefault="00CD5CD4" w:rsidP="00F71EFD">
      <w:pPr>
        <w:rPr>
          <w:rFonts w:eastAsia="Calibri"/>
        </w:rPr>
      </w:pPr>
      <w:r>
        <w:rPr>
          <w:rFonts w:eastAsia="Calibri"/>
        </w:rPr>
        <w:t xml:space="preserve">This figure shows that the </w:t>
      </w:r>
      <w:r w:rsidR="00F71EFD">
        <w:rPr>
          <w:rFonts w:eastAsia="Calibri"/>
        </w:rPr>
        <w:t xml:space="preserve">mean attractiveness-of-partner </w:t>
      </w:r>
      <w:r>
        <w:rPr>
          <w:rFonts w:eastAsia="Calibri"/>
        </w:rPr>
        <w:t xml:space="preserve">score </w:t>
      </w:r>
      <w:r w:rsidR="00F71EFD">
        <w:rPr>
          <w:rFonts w:eastAsia="Calibri"/>
        </w:rPr>
        <w:t>was considerably lower for the 4</w:t>
      </w:r>
      <w:r>
        <w:rPr>
          <w:rFonts w:eastAsia="Calibri"/>
        </w:rPr>
        <w:t>-</w:t>
      </w:r>
      <w:r w:rsidR="00F71EFD">
        <w:rPr>
          <w:rFonts w:eastAsia="Calibri"/>
        </w:rPr>
        <w:t>pints group (mean = 46.56, SD=14.343) than for either the 0-pints group (mean = 64.75, SD=8.466) or the 2-pints group (mean=64.69, SD=</w:t>
      </w:r>
      <w:r w:rsidR="00F71EFD" w:rsidRPr="00F71EFD">
        <w:rPr>
          <w:rFonts w:eastAsia="Calibri"/>
        </w:rPr>
        <w:t>9.911</w:t>
      </w:r>
      <w:r w:rsidR="00F71EFD">
        <w:rPr>
          <w:rFonts w:eastAsia="Calibri"/>
        </w:rPr>
        <w:t xml:space="preserve">).  </w:t>
      </w:r>
    </w:p>
    <w:p w14:paraId="23003A3B" w14:textId="77777777" w:rsidR="002E2479" w:rsidRDefault="002E2479" w:rsidP="00F71EFD">
      <w:pPr>
        <w:rPr>
          <w:rFonts w:eastAsia="Calibri"/>
        </w:rPr>
      </w:pPr>
    </w:p>
    <w:p w14:paraId="5AC69DA8" w14:textId="77777777" w:rsidR="002E2479" w:rsidRDefault="002E2479" w:rsidP="00F71EFD">
      <w:pPr>
        <w:rPr>
          <w:rFonts w:eastAsia="Calibri"/>
        </w:rPr>
      </w:pPr>
      <w:r>
        <w:rPr>
          <w:rFonts w:eastAsia="Calibri"/>
        </w:rPr>
        <w:t xml:space="preserve">The </w:t>
      </w:r>
      <w:r w:rsidRPr="00CD5CD4">
        <w:rPr>
          <w:rFonts w:eastAsia="Calibri"/>
          <w:i/>
        </w:rPr>
        <w:t xml:space="preserve">F </w:t>
      </w:r>
      <w:r>
        <w:rPr>
          <w:rFonts w:eastAsia="Calibri"/>
        </w:rPr>
        <w:t xml:space="preserve">value for the model was significant, </w:t>
      </w:r>
      <w:proofErr w:type="gramStart"/>
      <w:r w:rsidRPr="002E2479">
        <w:rPr>
          <w:rFonts w:eastAsia="Calibri"/>
          <w:i/>
        </w:rPr>
        <w:t>F</w:t>
      </w:r>
      <w:r>
        <w:rPr>
          <w:rFonts w:eastAsia="Calibri"/>
        </w:rPr>
        <w:t>(</w:t>
      </w:r>
      <w:proofErr w:type="gramEnd"/>
      <w:r>
        <w:rPr>
          <w:rFonts w:eastAsia="Calibri"/>
        </w:rPr>
        <w:t xml:space="preserve">1,45)=13.307, </w:t>
      </w:r>
      <w:r w:rsidRPr="007C73C7">
        <w:rPr>
          <w:rFonts w:eastAsia="Calibri"/>
          <w:i/>
        </w:rPr>
        <w:t>p</w:t>
      </w:r>
      <w:r>
        <w:rPr>
          <w:rFonts w:eastAsia="Calibri"/>
        </w:rPr>
        <w:t xml:space="preserve">&lt;.001, </w:t>
      </w:r>
      <w:r w:rsidR="00CD5CD4">
        <w:rPr>
          <w:rFonts w:eastAsia="Calibri"/>
        </w:rPr>
        <w:t xml:space="preserve">indicating that we can reject the null that the mean values </w:t>
      </w:r>
      <w:r w:rsidR="007C73C7">
        <w:rPr>
          <w:rFonts w:eastAsia="Calibri"/>
        </w:rPr>
        <w:t xml:space="preserve">in the population </w:t>
      </w:r>
      <w:r w:rsidR="00CD5CD4">
        <w:rPr>
          <w:rFonts w:eastAsia="Calibri"/>
        </w:rPr>
        <w:t>are the same</w:t>
      </w:r>
      <w:r>
        <w:rPr>
          <w:rFonts w:eastAsia="Calibri"/>
        </w:rPr>
        <w:t>.  S</w:t>
      </w:r>
      <w:r w:rsidR="00CD5CD4">
        <w:rPr>
          <w:rFonts w:eastAsia="Calibri"/>
        </w:rPr>
        <w:t>hapiro-Wilk</w:t>
      </w:r>
      <w:r>
        <w:rPr>
          <w:rFonts w:eastAsia="Calibri"/>
        </w:rPr>
        <w:t>’s test of the residuals indicated that distribution was not</w:t>
      </w:r>
      <w:r w:rsidR="007C73C7">
        <w:rPr>
          <w:rFonts w:eastAsia="Calibri"/>
        </w:rPr>
        <w:t xml:space="preserve"> significantly different from </w:t>
      </w:r>
      <w:r>
        <w:rPr>
          <w:rFonts w:eastAsia="Calibri"/>
        </w:rPr>
        <w:t xml:space="preserve">normal (p=.956).  However, </w:t>
      </w:r>
      <w:proofErr w:type="spellStart"/>
      <w:r>
        <w:rPr>
          <w:rFonts w:eastAsia="Calibri"/>
        </w:rPr>
        <w:t>Levene’s</w:t>
      </w:r>
      <w:proofErr w:type="spellEnd"/>
      <w:r>
        <w:rPr>
          <w:rFonts w:eastAsia="Calibri"/>
        </w:rPr>
        <w:t xml:space="preserve"> test showed that that the assumption of homogeneity of variances was violated, </w:t>
      </w:r>
      <w:proofErr w:type="gramStart"/>
      <w:r w:rsidRPr="002A1553">
        <w:rPr>
          <w:rFonts w:eastAsia="Calibri"/>
          <w:i/>
        </w:rPr>
        <w:t>F</w:t>
      </w:r>
      <w:r>
        <w:rPr>
          <w:rFonts w:eastAsia="Calibri"/>
        </w:rPr>
        <w:t>(</w:t>
      </w:r>
      <w:proofErr w:type="gramEnd"/>
      <w:r>
        <w:rPr>
          <w:rFonts w:eastAsia="Calibri"/>
        </w:rPr>
        <w:t xml:space="preserve">2,45)=3.378, </w:t>
      </w:r>
      <w:r w:rsidRPr="002A1553">
        <w:rPr>
          <w:rFonts w:eastAsia="Calibri"/>
          <w:i/>
        </w:rPr>
        <w:t>p</w:t>
      </w:r>
      <w:r>
        <w:rPr>
          <w:rFonts w:eastAsia="Calibri"/>
        </w:rPr>
        <w:t>=.043.  This means</w:t>
      </w:r>
      <w:r w:rsidR="00CD5CD4">
        <w:rPr>
          <w:rFonts w:eastAsia="Calibri"/>
        </w:rPr>
        <w:t xml:space="preserve"> that</w:t>
      </w:r>
      <w:r>
        <w:rPr>
          <w:rFonts w:eastAsia="Calibri"/>
        </w:rPr>
        <w:t xml:space="preserve"> that we need to examine the bootstrapped </w:t>
      </w:r>
      <w:r w:rsidRPr="00CD5CD4">
        <w:rPr>
          <w:rFonts w:eastAsia="Calibri"/>
          <w:i/>
        </w:rPr>
        <w:t>post hoc</w:t>
      </w:r>
      <w:r>
        <w:rPr>
          <w:rFonts w:eastAsia="Calibri"/>
        </w:rPr>
        <w:t xml:space="preserve"> confidence intervals for the differences between each pair of groups to determine whether any pair of group means are significantly different. These results are given in </w:t>
      </w:r>
      <w:r w:rsidR="00B32EA2">
        <w:rPr>
          <w:rFonts w:eastAsia="Calibri"/>
        </w:rPr>
        <w:fldChar w:fldCharType="begin"/>
      </w:r>
      <w:r w:rsidR="00B32EA2">
        <w:rPr>
          <w:rFonts w:eastAsia="Calibri"/>
        </w:rPr>
        <w:instrText xml:space="preserve"> REF _Ref476693902 \h </w:instrText>
      </w:r>
      <w:r w:rsidR="00B32EA2">
        <w:rPr>
          <w:rFonts w:eastAsia="Calibri"/>
        </w:rPr>
      </w:r>
      <w:r w:rsidR="00B32EA2">
        <w:rPr>
          <w:rFonts w:eastAsia="Calibri"/>
        </w:rPr>
        <w:fldChar w:fldCharType="separate"/>
      </w:r>
      <w:r w:rsidR="00B32EA2">
        <w:t xml:space="preserve">Table </w:t>
      </w:r>
      <w:r w:rsidR="00B32EA2">
        <w:rPr>
          <w:noProof/>
        </w:rPr>
        <w:t>1</w:t>
      </w:r>
      <w:r w:rsidR="00B32EA2">
        <w:rPr>
          <w:rFonts w:eastAsia="Calibri"/>
        </w:rPr>
        <w:fldChar w:fldCharType="end"/>
      </w:r>
      <w:r w:rsidR="00B32EA2">
        <w:rPr>
          <w:rFonts w:eastAsia="Calibri"/>
        </w:rPr>
        <w:t>.</w:t>
      </w:r>
    </w:p>
    <w:p w14:paraId="109B2707" w14:textId="77777777" w:rsidR="002E2479" w:rsidRDefault="002E2479" w:rsidP="00F71EFD">
      <w:pPr>
        <w:rPr>
          <w:rFonts w:eastAsia="Calibri"/>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150"/>
        <w:gridCol w:w="960"/>
        <w:gridCol w:w="1760"/>
        <w:gridCol w:w="1371"/>
        <w:gridCol w:w="1349"/>
      </w:tblGrid>
      <w:tr w:rsidR="009A2431" w:rsidRPr="002E2479" w14:paraId="4AC3B4C0" w14:textId="77777777" w:rsidTr="00532028">
        <w:trPr>
          <w:trHeight w:val="300"/>
        </w:trPr>
        <w:tc>
          <w:tcPr>
            <w:tcW w:w="3220" w:type="dxa"/>
            <w:vMerge w:val="restart"/>
            <w:shd w:val="clear" w:color="auto" w:fill="auto"/>
            <w:noWrap/>
            <w:vAlign w:val="bottom"/>
          </w:tcPr>
          <w:p w14:paraId="2B34E7B9" w14:textId="77777777" w:rsidR="009A2431" w:rsidRDefault="009A2431" w:rsidP="00B32EA2">
            <w:pPr>
              <w:widowControl/>
              <w:suppressAutoHyphens w:val="0"/>
              <w:rPr>
                <w:rFonts w:cs="Calibri"/>
                <w:color w:val="000000"/>
                <w:szCs w:val="22"/>
              </w:rPr>
            </w:pPr>
          </w:p>
        </w:tc>
        <w:tc>
          <w:tcPr>
            <w:tcW w:w="1150" w:type="dxa"/>
            <w:vMerge w:val="restart"/>
            <w:shd w:val="clear" w:color="auto" w:fill="auto"/>
            <w:noWrap/>
            <w:vAlign w:val="bottom"/>
          </w:tcPr>
          <w:p w14:paraId="27AA762E" w14:textId="77777777" w:rsidR="009A2431" w:rsidRPr="002E2479" w:rsidRDefault="009A2431" w:rsidP="009A2431">
            <w:pPr>
              <w:widowControl/>
              <w:suppressAutoHyphens w:val="0"/>
              <w:jc w:val="center"/>
              <w:rPr>
                <w:rFonts w:ascii="Times New Roman" w:hAnsi="Times New Roman"/>
                <w:sz w:val="20"/>
              </w:rPr>
            </w:pPr>
            <w:r w:rsidRPr="002E2479">
              <w:rPr>
                <w:rFonts w:cs="Calibri"/>
                <w:color w:val="000000"/>
                <w:szCs w:val="22"/>
              </w:rPr>
              <w:t>Difference</w:t>
            </w:r>
          </w:p>
        </w:tc>
        <w:tc>
          <w:tcPr>
            <w:tcW w:w="960" w:type="dxa"/>
            <w:vMerge w:val="restart"/>
            <w:shd w:val="clear" w:color="auto" w:fill="auto"/>
            <w:noWrap/>
            <w:vAlign w:val="bottom"/>
          </w:tcPr>
          <w:p w14:paraId="5184919C" w14:textId="77777777" w:rsidR="009A2431" w:rsidRPr="002E2479" w:rsidRDefault="009A2431" w:rsidP="009A2431">
            <w:pPr>
              <w:widowControl/>
              <w:suppressAutoHyphens w:val="0"/>
              <w:jc w:val="center"/>
              <w:rPr>
                <w:rFonts w:cs="Calibri"/>
                <w:color w:val="000000"/>
                <w:szCs w:val="22"/>
              </w:rPr>
            </w:pPr>
            <w:r w:rsidRPr="002E2479">
              <w:rPr>
                <w:rFonts w:cs="Calibri"/>
                <w:color w:val="000000"/>
                <w:szCs w:val="22"/>
              </w:rPr>
              <w:t>Bias</w:t>
            </w:r>
          </w:p>
        </w:tc>
        <w:tc>
          <w:tcPr>
            <w:tcW w:w="1760" w:type="dxa"/>
            <w:vMerge w:val="restart"/>
            <w:shd w:val="clear" w:color="auto" w:fill="auto"/>
            <w:noWrap/>
            <w:vAlign w:val="bottom"/>
          </w:tcPr>
          <w:p w14:paraId="65D2F1C6" w14:textId="77777777" w:rsidR="009A2431" w:rsidRDefault="009A2431" w:rsidP="009A2431">
            <w:pPr>
              <w:jc w:val="center"/>
              <w:rPr>
                <w:rFonts w:cs="Calibri"/>
                <w:color w:val="000000"/>
                <w:szCs w:val="22"/>
              </w:rPr>
            </w:pPr>
            <w:r w:rsidRPr="002E2479">
              <w:rPr>
                <w:rFonts w:cs="Calibri"/>
                <w:color w:val="000000"/>
                <w:szCs w:val="22"/>
              </w:rPr>
              <w:t>Std. Error</w:t>
            </w:r>
          </w:p>
        </w:tc>
        <w:tc>
          <w:tcPr>
            <w:tcW w:w="2720" w:type="dxa"/>
            <w:gridSpan w:val="2"/>
            <w:shd w:val="clear" w:color="auto" w:fill="auto"/>
            <w:noWrap/>
            <w:vAlign w:val="bottom"/>
          </w:tcPr>
          <w:p w14:paraId="68922C8B" w14:textId="77777777" w:rsidR="009A2431" w:rsidRDefault="009A2431" w:rsidP="009A2431">
            <w:pPr>
              <w:jc w:val="center"/>
              <w:rPr>
                <w:rFonts w:cs="Calibri"/>
                <w:color w:val="000000"/>
                <w:szCs w:val="22"/>
              </w:rPr>
            </w:pPr>
            <w:proofErr w:type="spellStart"/>
            <w:r w:rsidRPr="002E2479">
              <w:rPr>
                <w:rFonts w:cs="Calibri"/>
                <w:color w:val="000000"/>
                <w:szCs w:val="22"/>
              </w:rPr>
              <w:t>BCa</w:t>
            </w:r>
            <w:proofErr w:type="spellEnd"/>
            <w:r w:rsidRPr="002E2479">
              <w:rPr>
                <w:rFonts w:cs="Calibri"/>
                <w:color w:val="000000"/>
                <w:szCs w:val="22"/>
              </w:rPr>
              <w:t xml:space="preserve"> 95% Confidence Interval</w:t>
            </w:r>
          </w:p>
        </w:tc>
      </w:tr>
      <w:tr w:rsidR="009A2431" w:rsidRPr="002E2479" w14:paraId="1010ABC7" w14:textId="77777777" w:rsidTr="00B32EA2">
        <w:trPr>
          <w:trHeight w:val="300"/>
        </w:trPr>
        <w:tc>
          <w:tcPr>
            <w:tcW w:w="3220" w:type="dxa"/>
            <w:vMerge/>
            <w:shd w:val="clear" w:color="auto" w:fill="auto"/>
            <w:noWrap/>
            <w:vAlign w:val="bottom"/>
          </w:tcPr>
          <w:p w14:paraId="50FA04F0" w14:textId="77777777" w:rsidR="009A2431" w:rsidRDefault="009A2431" w:rsidP="009A2431">
            <w:pPr>
              <w:widowControl/>
              <w:suppressAutoHyphens w:val="0"/>
              <w:rPr>
                <w:rFonts w:cs="Calibri"/>
                <w:color w:val="000000"/>
                <w:szCs w:val="22"/>
              </w:rPr>
            </w:pPr>
          </w:p>
        </w:tc>
        <w:tc>
          <w:tcPr>
            <w:tcW w:w="1150" w:type="dxa"/>
            <w:vMerge/>
            <w:shd w:val="clear" w:color="auto" w:fill="auto"/>
            <w:noWrap/>
            <w:vAlign w:val="bottom"/>
          </w:tcPr>
          <w:p w14:paraId="229C4734" w14:textId="77777777" w:rsidR="009A2431" w:rsidRDefault="009A2431" w:rsidP="009A2431">
            <w:pPr>
              <w:jc w:val="right"/>
              <w:rPr>
                <w:rFonts w:cs="Calibri"/>
                <w:color w:val="000000"/>
                <w:szCs w:val="22"/>
              </w:rPr>
            </w:pPr>
          </w:p>
        </w:tc>
        <w:tc>
          <w:tcPr>
            <w:tcW w:w="960" w:type="dxa"/>
            <w:vMerge/>
            <w:shd w:val="clear" w:color="auto" w:fill="auto"/>
            <w:noWrap/>
            <w:vAlign w:val="bottom"/>
          </w:tcPr>
          <w:p w14:paraId="60644B76" w14:textId="77777777" w:rsidR="009A2431" w:rsidRDefault="009A2431" w:rsidP="009A2431">
            <w:pPr>
              <w:jc w:val="right"/>
              <w:rPr>
                <w:rFonts w:cs="Calibri"/>
                <w:color w:val="000000"/>
                <w:szCs w:val="22"/>
              </w:rPr>
            </w:pPr>
          </w:p>
        </w:tc>
        <w:tc>
          <w:tcPr>
            <w:tcW w:w="1760" w:type="dxa"/>
            <w:vMerge/>
            <w:shd w:val="clear" w:color="auto" w:fill="auto"/>
            <w:noWrap/>
            <w:vAlign w:val="bottom"/>
          </w:tcPr>
          <w:p w14:paraId="02AFE934" w14:textId="77777777" w:rsidR="009A2431" w:rsidRDefault="009A2431" w:rsidP="009A2431">
            <w:pPr>
              <w:jc w:val="right"/>
              <w:rPr>
                <w:rFonts w:cs="Calibri"/>
                <w:color w:val="000000"/>
                <w:szCs w:val="22"/>
              </w:rPr>
            </w:pPr>
          </w:p>
        </w:tc>
        <w:tc>
          <w:tcPr>
            <w:tcW w:w="1371" w:type="dxa"/>
            <w:shd w:val="clear" w:color="auto" w:fill="auto"/>
            <w:noWrap/>
            <w:vAlign w:val="bottom"/>
          </w:tcPr>
          <w:p w14:paraId="3192229E" w14:textId="77777777" w:rsidR="009A2431" w:rsidRPr="002E2479" w:rsidRDefault="009A2431" w:rsidP="009A2431">
            <w:pPr>
              <w:widowControl/>
              <w:suppressAutoHyphens w:val="0"/>
              <w:jc w:val="center"/>
              <w:rPr>
                <w:rFonts w:cs="Calibri"/>
                <w:color w:val="000000"/>
                <w:szCs w:val="22"/>
              </w:rPr>
            </w:pPr>
            <w:r w:rsidRPr="002E2479">
              <w:rPr>
                <w:rFonts w:cs="Calibri"/>
                <w:color w:val="000000"/>
                <w:szCs w:val="22"/>
              </w:rPr>
              <w:t>Lower</w:t>
            </w:r>
          </w:p>
        </w:tc>
        <w:tc>
          <w:tcPr>
            <w:tcW w:w="1349" w:type="dxa"/>
            <w:shd w:val="clear" w:color="auto" w:fill="auto"/>
            <w:noWrap/>
            <w:vAlign w:val="bottom"/>
          </w:tcPr>
          <w:p w14:paraId="4E46E01E" w14:textId="77777777" w:rsidR="009A2431" w:rsidRPr="002E2479" w:rsidRDefault="009A2431" w:rsidP="009A2431">
            <w:pPr>
              <w:widowControl/>
              <w:suppressAutoHyphens w:val="0"/>
              <w:jc w:val="center"/>
              <w:rPr>
                <w:rFonts w:cs="Calibri"/>
                <w:color w:val="000000"/>
                <w:szCs w:val="22"/>
              </w:rPr>
            </w:pPr>
            <w:r w:rsidRPr="002E2479">
              <w:rPr>
                <w:rFonts w:cs="Calibri"/>
                <w:color w:val="000000"/>
                <w:szCs w:val="22"/>
              </w:rPr>
              <w:t>Upper</w:t>
            </w:r>
          </w:p>
        </w:tc>
      </w:tr>
      <w:tr w:rsidR="009A2431" w:rsidRPr="002E2479" w14:paraId="3E39CC37" w14:textId="77777777" w:rsidTr="00B32EA2">
        <w:trPr>
          <w:trHeight w:val="300"/>
        </w:trPr>
        <w:tc>
          <w:tcPr>
            <w:tcW w:w="3220" w:type="dxa"/>
            <w:shd w:val="clear" w:color="auto" w:fill="auto"/>
            <w:noWrap/>
            <w:vAlign w:val="bottom"/>
            <w:hideMark/>
          </w:tcPr>
          <w:p w14:paraId="6A9AB2B4" w14:textId="77777777" w:rsidR="009A2431" w:rsidRDefault="009A2431" w:rsidP="009A2431">
            <w:pPr>
              <w:widowControl/>
              <w:suppressAutoHyphens w:val="0"/>
              <w:rPr>
                <w:rFonts w:cs="Calibri"/>
                <w:color w:val="000000"/>
                <w:szCs w:val="22"/>
              </w:rPr>
            </w:pPr>
            <w:r>
              <w:rPr>
                <w:rFonts w:cs="Calibri"/>
                <w:color w:val="000000"/>
                <w:szCs w:val="22"/>
              </w:rPr>
              <w:t>2 Pints - None</w:t>
            </w:r>
          </w:p>
        </w:tc>
        <w:tc>
          <w:tcPr>
            <w:tcW w:w="1150" w:type="dxa"/>
            <w:shd w:val="clear" w:color="auto" w:fill="auto"/>
            <w:noWrap/>
            <w:vAlign w:val="bottom"/>
            <w:hideMark/>
          </w:tcPr>
          <w:p w14:paraId="4BC6932F" w14:textId="77777777" w:rsidR="009A2431" w:rsidRDefault="009A2431" w:rsidP="009A2431">
            <w:pPr>
              <w:jc w:val="right"/>
              <w:rPr>
                <w:rFonts w:cs="Calibri"/>
                <w:color w:val="000000"/>
                <w:szCs w:val="22"/>
              </w:rPr>
            </w:pPr>
            <w:r>
              <w:rPr>
                <w:rFonts w:cs="Calibri"/>
                <w:color w:val="000000"/>
                <w:szCs w:val="22"/>
              </w:rPr>
              <w:t>0.94</w:t>
            </w:r>
          </w:p>
        </w:tc>
        <w:tc>
          <w:tcPr>
            <w:tcW w:w="960" w:type="dxa"/>
            <w:shd w:val="clear" w:color="auto" w:fill="auto"/>
            <w:noWrap/>
            <w:vAlign w:val="bottom"/>
            <w:hideMark/>
          </w:tcPr>
          <w:p w14:paraId="1C094C37" w14:textId="77777777" w:rsidR="009A2431" w:rsidRDefault="009A2431" w:rsidP="009A2431">
            <w:pPr>
              <w:jc w:val="right"/>
              <w:rPr>
                <w:rFonts w:cs="Calibri"/>
                <w:color w:val="000000"/>
                <w:szCs w:val="22"/>
              </w:rPr>
            </w:pPr>
            <w:r>
              <w:rPr>
                <w:rFonts w:cs="Calibri"/>
                <w:color w:val="000000"/>
                <w:szCs w:val="22"/>
              </w:rPr>
              <w:t>-0.19</w:t>
            </w:r>
          </w:p>
        </w:tc>
        <w:tc>
          <w:tcPr>
            <w:tcW w:w="1760" w:type="dxa"/>
            <w:shd w:val="clear" w:color="auto" w:fill="auto"/>
            <w:noWrap/>
            <w:vAlign w:val="bottom"/>
            <w:hideMark/>
          </w:tcPr>
          <w:p w14:paraId="2BBDA12A" w14:textId="77777777" w:rsidR="009A2431" w:rsidRDefault="009A2431" w:rsidP="009A2431">
            <w:pPr>
              <w:jc w:val="right"/>
              <w:rPr>
                <w:rFonts w:cs="Calibri"/>
                <w:color w:val="000000"/>
                <w:szCs w:val="22"/>
              </w:rPr>
            </w:pPr>
            <w:r>
              <w:rPr>
                <w:rFonts w:cs="Calibri"/>
                <w:color w:val="000000"/>
                <w:szCs w:val="22"/>
              </w:rPr>
              <w:t>3.16</w:t>
            </w:r>
          </w:p>
        </w:tc>
        <w:tc>
          <w:tcPr>
            <w:tcW w:w="1371" w:type="dxa"/>
            <w:shd w:val="clear" w:color="auto" w:fill="auto"/>
            <w:noWrap/>
            <w:vAlign w:val="bottom"/>
            <w:hideMark/>
          </w:tcPr>
          <w:p w14:paraId="24DC912A" w14:textId="77777777" w:rsidR="009A2431" w:rsidRDefault="009A2431" w:rsidP="009A2431">
            <w:pPr>
              <w:jc w:val="right"/>
              <w:rPr>
                <w:rFonts w:cs="Calibri"/>
                <w:color w:val="000000"/>
                <w:szCs w:val="22"/>
              </w:rPr>
            </w:pPr>
            <w:r>
              <w:rPr>
                <w:rFonts w:cs="Calibri"/>
                <w:color w:val="000000"/>
                <w:szCs w:val="22"/>
              </w:rPr>
              <w:t>-4.56</w:t>
            </w:r>
          </w:p>
        </w:tc>
        <w:tc>
          <w:tcPr>
            <w:tcW w:w="1349" w:type="dxa"/>
            <w:shd w:val="clear" w:color="auto" w:fill="auto"/>
            <w:noWrap/>
            <w:vAlign w:val="bottom"/>
            <w:hideMark/>
          </w:tcPr>
          <w:p w14:paraId="3CB9C7FB" w14:textId="77777777" w:rsidR="009A2431" w:rsidRDefault="009A2431" w:rsidP="009A2431">
            <w:pPr>
              <w:jc w:val="right"/>
              <w:rPr>
                <w:rFonts w:cs="Calibri"/>
                <w:color w:val="000000"/>
                <w:szCs w:val="22"/>
              </w:rPr>
            </w:pPr>
            <w:r>
              <w:rPr>
                <w:rFonts w:cs="Calibri"/>
                <w:color w:val="000000"/>
                <w:szCs w:val="22"/>
              </w:rPr>
              <w:t>6.32</w:t>
            </w:r>
          </w:p>
        </w:tc>
      </w:tr>
      <w:tr w:rsidR="009A2431" w:rsidRPr="002E2479" w14:paraId="20E0CF71" w14:textId="77777777" w:rsidTr="00B32EA2">
        <w:trPr>
          <w:trHeight w:val="300"/>
        </w:trPr>
        <w:tc>
          <w:tcPr>
            <w:tcW w:w="3220" w:type="dxa"/>
            <w:shd w:val="clear" w:color="auto" w:fill="auto"/>
            <w:noWrap/>
            <w:vAlign w:val="bottom"/>
            <w:hideMark/>
          </w:tcPr>
          <w:p w14:paraId="4A5C2043" w14:textId="77777777" w:rsidR="009A2431" w:rsidRDefault="009A2431" w:rsidP="009A2431">
            <w:pPr>
              <w:rPr>
                <w:rFonts w:cs="Calibri"/>
                <w:color w:val="000000"/>
                <w:szCs w:val="22"/>
              </w:rPr>
            </w:pPr>
            <w:r>
              <w:rPr>
                <w:rFonts w:cs="Calibri"/>
                <w:color w:val="000000"/>
                <w:szCs w:val="22"/>
              </w:rPr>
              <w:t>2 pints - 4 pints</w:t>
            </w:r>
          </w:p>
        </w:tc>
        <w:tc>
          <w:tcPr>
            <w:tcW w:w="1150" w:type="dxa"/>
            <w:shd w:val="clear" w:color="auto" w:fill="auto"/>
            <w:noWrap/>
            <w:vAlign w:val="bottom"/>
            <w:hideMark/>
          </w:tcPr>
          <w:p w14:paraId="4B4E92B7" w14:textId="77777777" w:rsidR="009A2431" w:rsidRDefault="009A2431" w:rsidP="009A2431">
            <w:pPr>
              <w:jc w:val="right"/>
              <w:rPr>
                <w:rFonts w:cs="Calibri"/>
                <w:color w:val="000000"/>
                <w:szCs w:val="22"/>
              </w:rPr>
            </w:pPr>
            <w:r>
              <w:rPr>
                <w:rFonts w:cs="Calibri"/>
                <w:color w:val="000000"/>
                <w:szCs w:val="22"/>
              </w:rPr>
              <w:t>18.13</w:t>
            </w:r>
          </w:p>
        </w:tc>
        <w:tc>
          <w:tcPr>
            <w:tcW w:w="960" w:type="dxa"/>
            <w:shd w:val="clear" w:color="auto" w:fill="auto"/>
            <w:noWrap/>
            <w:vAlign w:val="bottom"/>
            <w:hideMark/>
          </w:tcPr>
          <w:p w14:paraId="205F514C" w14:textId="77777777" w:rsidR="009A2431" w:rsidRDefault="009A2431" w:rsidP="009A2431">
            <w:pPr>
              <w:jc w:val="right"/>
              <w:rPr>
                <w:rFonts w:cs="Calibri"/>
                <w:color w:val="000000"/>
                <w:szCs w:val="22"/>
              </w:rPr>
            </w:pPr>
            <w:r>
              <w:rPr>
                <w:rFonts w:cs="Calibri"/>
                <w:color w:val="000000"/>
                <w:szCs w:val="22"/>
              </w:rPr>
              <w:t>-0.18</w:t>
            </w:r>
          </w:p>
        </w:tc>
        <w:tc>
          <w:tcPr>
            <w:tcW w:w="1760" w:type="dxa"/>
            <w:shd w:val="clear" w:color="auto" w:fill="auto"/>
            <w:noWrap/>
            <w:vAlign w:val="bottom"/>
            <w:hideMark/>
          </w:tcPr>
          <w:p w14:paraId="03BE89C9" w14:textId="77777777" w:rsidR="009A2431" w:rsidRDefault="009A2431" w:rsidP="009A2431">
            <w:pPr>
              <w:jc w:val="right"/>
              <w:rPr>
                <w:rFonts w:cs="Calibri"/>
                <w:color w:val="000000"/>
                <w:szCs w:val="22"/>
              </w:rPr>
            </w:pPr>
            <w:r>
              <w:rPr>
                <w:rFonts w:cs="Calibri"/>
                <w:color w:val="000000"/>
                <w:szCs w:val="22"/>
              </w:rPr>
              <w:t>4.19</w:t>
            </w:r>
          </w:p>
        </w:tc>
        <w:tc>
          <w:tcPr>
            <w:tcW w:w="1371" w:type="dxa"/>
            <w:shd w:val="clear" w:color="auto" w:fill="auto"/>
            <w:noWrap/>
            <w:vAlign w:val="bottom"/>
            <w:hideMark/>
          </w:tcPr>
          <w:p w14:paraId="3FB887D6" w14:textId="77777777" w:rsidR="009A2431" w:rsidRDefault="009A2431" w:rsidP="009A2431">
            <w:pPr>
              <w:jc w:val="right"/>
              <w:rPr>
                <w:rFonts w:cs="Calibri"/>
                <w:color w:val="000000"/>
                <w:szCs w:val="22"/>
              </w:rPr>
            </w:pPr>
            <w:r>
              <w:rPr>
                <w:rFonts w:cs="Calibri"/>
                <w:color w:val="000000"/>
                <w:szCs w:val="22"/>
              </w:rPr>
              <w:t>10.38</w:t>
            </w:r>
          </w:p>
        </w:tc>
        <w:tc>
          <w:tcPr>
            <w:tcW w:w="1349" w:type="dxa"/>
            <w:shd w:val="clear" w:color="auto" w:fill="auto"/>
            <w:noWrap/>
            <w:vAlign w:val="bottom"/>
            <w:hideMark/>
          </w:tcPr>
          <w:p w14:paraId="253FEFD7" w14:textId="77777777" w:rsidR="009A2431" w:rsidRDefault="009A2431" w:rsidP="009A2431">
            <w:pPr>
              <w:jc w:val="right"/>
              <w:rPr>
                <w:rFonts w:cs="Calibri"/>
                <w:color w:val="000000"/>
                <w:szCs w:val="22"/>
              </w:rPr>
            </w:pPr>
            <w:r>
              <w:rPr>
                <w:rFonts w:cs="Calibri"/>
                <w:color w:val="000000"/>
                <w:szCs w:val="22"/>
              </w:rPr>
              <w:t>25.6</w:t>
            </w:r>
          </w:p>
        </w:tc>
      </w:tr>
      <w:tr w:rsidR="009A2431" w:rsidRPr="002E2479" w14:paraId="14B87511" w14:textId="77777777" w:rsidTr="00B32EA2">
        <w:trPr>
          <w:trHeight w:val="300"/>
        </w:trPr>
        <w:tc>
          <w:tcPr>
            <w:tcW w:w="3220" w:type="dxa"/>
            <w:shd w:val="clear" w:color="auto" w:fill="auto"/>
            <w:noWrap/>
            <w:vAlign w:val="bottom"/>
            <w:hideMark/>
          </w:tcPr>
          <w:p w14:paraId="6B82EEB3" w14:textId="77777777" w:rsidR="009A2431" w:rsidRDefault="009A2431" w:rsidP="009A2431">
            <w:pPr>
              <w:rPr>
                <w:rFonts w:cs="Calibri"/>
                <w:color w:val="000000"/>
                <w:szCs w:val="22"/>
              </w:rPr>
            </w:pPr>
            <w:r>
              <w:rPr>
                <w:rFonts w:cs="Calibri"/>
                <w:color w:val="000000"/>
                <w:szCs w:val="22"/>
              </w:rPr>
              <w:t>None - 4 pints</w:t>
            </w:r>
          </w:p>
        </w:tc>
        <w:tc>
          <w:tcPr>
            <w:tcW w:w="1150" w:type="dxa"/>
            <w:shd w:val="clear" w:color="auto" w:fill="auto"/>
            <w:noWrap/>
            <w:vAlign w:val="bottom"/>
            <w:hideMark/>
          </w:tcPr>
          <w:p w14:paraId="190C4244" w14:textId="77777777" w:rsidR="009A2431" w:rsidRDefault="009A2431" w:rsidP="009A2431">
            <w:pPr>
              <w:jc w:val="right"/>
              <w:rPr>
                <w:rFonts w:cs="Calibri"/>
                <w:color w:val="000000"/>
                <w:szCs w:val="22"/>
              </w:rPr>
            </w:pPr>
            <w:r>
              <w:rPr>
                <w:rFonts w:cs="Calibri"/>
                <w:color w:val="000000"/>
                <w:szCs w:val="22"/>
              </w:rPr>
              <w:t>17.19</w:t>
            </w:r>
          </w:p>
        </w:tc>
        <w:tc>
          <w:tcPr>
            <w:tcW w:w="960" w:type="dxa"/>
            <w:shd w:val="clear" w:color="auto" w:fill="auto"/>
            <w:noWrap/>
            <w:vAlign w:val="bottom"/>
            <w:hideMark/>
          </w:tcPr>
          <w:p w14:paraId="0656DA49" w14:textId="77777777" w:rsidR="009A2431" w:rsidRDefault="009A2431" w:rsidP="009A2431">
            <w:pPr>
              <w:jc w:val="right"/>
              <w:rPr>
                <w:rFonts w:cs="Calibri"/>
                <w:color w:val="000000"/>
                <w:szCs w:val="22"/>
              </w:rPr>
            </w:pPr>
            <w:r>
              <w:rPr>
                <w:rFonts w:cs="Calibri"/>
                <w:color w:val="000000"/>
                <w:szCs w:val="22"/>
              </w:rPr>
              <w:t>0.01</w:t>
            </w:r>
          </w:p>
        </w:tc>
        <w:tc>
          <w:tcPr>
            <w:tcW w:w="1760" w:type="dxa"/>
            <w:shd w:val="clear" w:color="auto" w:fill="auto"/>
            <w:noWrap/>
            <w:vAlign w:val="bottom"/>
            <w:hideMark/>
          </w:tcPr>
          <w:p w14:paraId="4D00E31B" w14:textId="77777777" w:rsidR="009A2431" w:rsidRDefault="009A2431" w:rsidP="009A2431">
            <w:pPr>
              <w:jc w:val="right"/>
              <w:rPr>
                <w:rFonts w:cs="Calibri"/>
                <w:color w:val="000000"/>
                <w:szCs w:val="22"/>
              </w:rPr>
            </w:pPr>
            <w:r>
              <w:rPr>
                <w:rFonts w:cs="Calibri"/>
                <w:color w:val="000000"/>
                <w:szCs w:val="22"/>
              </w:rPr>
              <w:t>4.14</w:t>
            </w:r>
          </w:p>
        </w:tc>
        <w:tc>
          <w:tcPr>
            <w:tcW w:w="1371" w:type="dxa"/>
            <w:shd w:val="clear" w:color="auto" w:fill="auto"/>
            <w:noWrap/>
            <w:vAlign w:val="bottom"/>
            <w:hideMark/>
          </w:tcPr>
          <w:p w14:paraId="361572AD" w14:textId="77777777" w:rsidR="009A2431" w:rsidRDefault="009A2431" w:rsidP="009A2431">
            <w:pPr>
              <w:jc w:val="right"/>
              <w:rPr>
                <w:rFonts w:cs="Calibri"/>
                <w:color w:val="000000"/>
                <w:szCs w:val="22"/>
              </w:rPr>
            </w:pPr>
            <w:r>
              <w:rPr>
                <w:rFonts w:cs="Calibri"/>
                <w:color w:val="000000"/>
                <w:szCs w:val="22"/>
              </w:rPr>
              <w:t>9.37</w:t>
            </w:r>
          </w:p>
        </w:tc>
        <w:tc>
          <w:tcPr>
            <w:tcW w:w="1349" w:type="dxa"/>
            <w:shd w:val="clear" w:color="auto" w:fill="auto"/>
            <w:noWrap/>
            <w:vAlign w:val="bottom"/>
            <w:hideMark/>
          </w:tcPr>
          <w:p w14:paraId="6FDD37F4" w14:textId="77777777" w:rsidR="009A2431" w:rsidRDefault="009A2431" w:rsidP="009A2431">
            <w:pPr>
              <w:jc w:val="right"/>
              <w:rPr>
                <w:rFonts w:cs="Calibri"/>
                <w:color w:val="000000"/>
                <w:szCs w:val="22"/>
              </w:rPr>
            </w:pPr>
            <w:r>
              <w:rPr>
                <w:rFonts w:cs="Calibri"/>
                <w:color w:val="000000"/>
                <w:szCs w:val="22"/>
              </w:rPr>
              <w:t>25.22</w:t>
            </w:r>
          </w:p>
        </w:tc>
      </w:tr>
    </w:tbl>
    <w:p w14:paraId="036FD689" w14:textId="77777777" w:rsidR="002E2479" w:rsidRDefault="002E2479" w:rsidP="00F71EFD">
      <w:pPr>
        <w:rPr>
          <w:rFonts w:eastAsia="Calibri"/>
        </w:rPr>
      </w:pPr>
    </w:p>
    <w:p w14:paraId="7485F293" w14:textId="77777777" w:rsidR="002E2479" w:rsidRDefault="002E2479" w:rsidP="00F71EFD">
      <w:pPr>
        <w:rPr>
          <w:rFonts w:eastAsia="Calibri"/>
        </w:rPr>
      </w:pPr>
    </w:p>
    <w:p w14:paraId="51B7E311" w14:textId="77777777" w:rsidR="00F71EFD" w:rsidRDefault="002E2479" w:rsidP="002E2479">
      <w:pPr>
        <w:pStyle w:val="Caption"/>
        <w:rPr>
          <w:rFonts w:eastAsia="Calibri"/>
        </w:rPr>
      </w:pPr>
      <w:bookmarkStart w:id="2" w:name="_Ref476693902"/>
      <w:r>
        <w:t xml:space="preserve">Table </w:t>
      </w:r>
      <w:fldSimple w:instr=" SEQ Table \* ARABIC ">
        <w:r>
          <w:rPr>
            <w:noProof/>
          </w:rPr>
          <w:t>1</w:t>
        </w:r>
      </w:fldSimple>
      <w:bookmarkEnd w:id="2"/>
      <w:r>
        <w:t xml:space="preserve">: Bias-corrected accelerated Standard Errors and </w:t>
      </w:r>
      <w:r w:rsidR="00B32EA2">
        <w:t xml:space="preserve">95% </w:t>
      </w:r>
      <w:r>
        <w:t>Confidence</w:t>
      </w:r>
      <w:r w:rsidR="00B32EA2">
        <w:t xml:space="preserve"> Intervals</w:t>
      </w:r>
      <w:r>
        <w:t xml:space="preserve"> </w:t>
      </w:r>
      <w:r w:rsidR="00B32EA2">
        <w:t xml:space="preserve">for </w:t>
      </w:r>
      <w:r>
        <w:t>Tukey HSD</w:t>
      </w:r>
      <w:r w:rsidR="00B32EA2">
        <w:t xml:space="preserve"> post hoc pairwise differences.</w:t>
      </w:r>
    </w:p>
    <w:p w14:paraId="168EF226" w14:textId="77777777" w:rsidR="00C36657" w:rsidRDefault="00B32EA2" w:rsidP="009A2431">
      <w:pPr>
        <w:rPr>
          <w:rFonts w:eastAsia="Calibri"/>
          <w:i/>
        </w:rPr>
      </w:pPr>
      <w:r>
        <w:rPr>
          <w:rFonts w:eastAsia="Calibri"/>
        </w:rPr>
        <w:t>As can be seen from the table, the 95% confidence interval</w:t>
      </w:r>
      <w:r w:rsidR="009A2431">
        <w:rPr>
          <w:rFonts w:eastAsia="Calibri"/>
        </w:rPr>
        <w:t xml:space="preserve"> for the difference between the mean attractiveness-of-partner ratings for the 2 pints group and the 0 pints group crosses 0 and </w:t>
      </w:r>
      <w:r w:rsidR="00DD2574">
        <w:rPr>
          <w:rFonts w:eastAsia="Calibri"/>
        </w:rPr>
        <w:t>is thus</w:t>
      </w:r>
      <w:r w:rsidR="009A2431">
        <w:rPr>
          <w:rFonts w:eastAsia="Calibri"/>
        </w:rPr>
        <w:t xml:space="preserve"> not significantly different from zero.  However, the 95% confidence intervals for the differences between the mean attractiveness-of-partner ratings for the 4 pints group and both the 0</w:t>
      </w:r>
      <w:r w:rsidR="00CD5CD4">
        <w:rPr>
          <w:rFonts w:eastAsia="Calibri"/>
        </w:rPr>
        <w:t>-</w:t>
      </w:r>
      <w:r w:rsidR="009A2431">
        <w:rPr>
          <w:rFonts w:eastAsia="Calibri"/>
        </w:rPr>
        <w:t>pints group and the 2</w:t>
      </w:r>
      <w:r w:rsidR="00CD5CD4">
        <w:rPr>
          <w:rFonts w:eastAsia="Calibri"/>
        </w:rPr>
        <w:t>-</w:t>
      </w:r>
      <w:r w:rsidR="009A2431">
        <w:rPr>
          <w:rFonts w:eastAsia="Calibri"/>
        </w:rPr>
        <w:t>pints group does not cross zero, indicating that the 4 pints group mean is significantly lower than the mean of both th</w:t>
      </w:r>
      <w:r w:rsidR="00CD5CD4">
        <w:rPr>
          <w:rFonts w:eastAsia="Calibri"/>
        </w:rPr>
        <w:t>ose</w:t>
      </w:r>
      <w:r w:rsidR="009A2431">
        <w:rPr>
          <w:rFonts w:eastAsia="Calibri"/>
        </w:rPr>
        <w:t xml:space="preserve"> other groups. </w:t>
      </w:r>
      <w:r w:rsidR="002E7B46">
        <w:rPr>
          <w:rFonts w:eastAsia="Calibri"/>
        </w:rPr>
        <w:t>In both cases, the</w:t>
      </w:r>
      <w:r w:rsidR="00A9581C">
        <w:rPr>
          <w:rFonts w:eastAsia="Calibri"/>
        </w:rPr>
        <w:t xml:space="preserve"> </w:t>
      </w:r>
      <w:r w:rsidR="002E7B46">
        <w:rPr>
          <w:rFonts w:eastAsia="Calibri"/>
        </w:rPr>
        <w:t xml:space="preserve">observed </w:t>
      </w:r>
      <w:r w:rsidR="00A9581C">
        <w:rPr>
          <w:rFonts w:eastAsia="Calibri"/>
        </w:rPr>
        <w:t xml:space="preserve">effect size (Cohen’s d) was </w:t>
      </w:r>
      <w:r w:rsidR="002E7B46">
        <w:rPr>
          <w:rFonts w:eastAsia="Calibri"/>
        </w:rPr>
        <w:t xml:space="preserve">1.15, which is a very large effect size.  </w:t>
      </w:r>
    </w:p>
    <w:p w14:paraId="04EC4FA9" w14:textId="77777777" w:rsidR="00C36657" w:rsidRDefault="00C36657" w:rsidP="009A2431">
      <w:pPr>
        <w:pStyle w:val="Heading1"/>
        <w:rPr>
          <w:rFonts w:eastAsia="Calibri"/>
          <w:sz w:val="22"/>
        </w:rPr>
      </w:pPr>
      <w:r>
        <w:rPr>
          <w:rFonts w:eastAsia="Calibri"/>
        </w:rPr>
        <w:t>Conclusion:</w:t>
      </w:r>
    </w:p>
    <w:p w14:paraId="78B8AE2E" w14:textId="77777777" w:rsidR="009A2431" w:rsidRDefault="009A2431" w:rsidP="00C36657">
      <w:pPr>
        <w:rPr>
          <w:rFonts w:eastAsia="Calibri"/>
        </w:rPr>
      </w:pPr>
    </w:p>
    <w:p w14:paraId="5FFF05DB" w14:textId="77777777" w:rsidR="009A2431" w:rsidRDefault="009A2431" w:rsidP="00C36657">
      <w:pPr>
        <w:rPr>
          <w:rFonts w:eastAsia="Calibri"/>
        </w:rPr>
      </w:pPr>
      <w:r>
        <w:rPr>
          <w:rFonts w:eastAsia="Calibri"/>
        </w:rPr>
        <w:t xml:space="preserve">These results indicate that we can reject our null hypothesis that the means of attractiveness-of-partner ratings are not different between these three alcohol conditions.  </w:t>
      </w:r>
      <w:r w:rsidR="0085337C">
        <w:rPr>
          <w:rFonts w:eastAsia="Calibri"/>
        </w:rPr>
        <w:t>The findings support the hypothesis that the amount of beer a person drinks affects their perception of the attractiveness of their potential partners.  They also confirm the specific prediction that the group that drank the most beer would have a lower mean attractiveness-of-partner than the group who drank none. The findings therefore support</w:t>
      </w:r>
      <w:r>
        <w:rPr>
          <w:rFonts w:eastAsia="Calibri"/>
        </w:rPr>
        <w:t xml:space="preserve"> the “beer goggles” belief that drinking a large amount of beer increases the generosity of a person’s perception of the attractiveness of their potential partners.</w:t>
      </w:r>
    </w:p>
    <w:p w14:paraId="5590992B" w14:textId="77777777" w:rsidR="009A2431" w:rsidRDefault="009A2431" w:rsidP="00C36657">
      <w:pPr>
        <w:rPr>
          <w:rFonts w:eastAsia="Calibri"/>
        </w:rPr>
      </w:pPr>
    </w:p>
    <w:p w14:paraId="2750F511" w14:textId="77777777" w:rsidR="009A2431" w:rsidRDefault="009A2431" w:rsidP="00C36657">
      <w:pPr>
        <w:rPr>
          <w:rFonts w:eastAsia="Calibri"/>
        </w:rPr>
      </w:pPr>
      <w:r>
        <w:rPr>
          <w:rFonts w:eastAsia="Calibri"/>
        </w:rPr>
        <w:t xml:space="preserve">However, the findings only indicate a significant effect once beer consumption exceeds 2 pints.  </w:t>
      </w:r>
      <w:r w:rsidR="00CD5CD4">
        <w:rPr>
          <w:rFonts w:eastAsia="Calibri"/>
        </w:rPr>
        <w:t xml:space="preserve">The study provides </w:t>
      </w:r>
      <w:r>
        <w:rPr>
          <w:rFonts w:eastAsia="Calibri"/>
        </w:rPr>
        <w:t xml:space="preserve">no evidence that drinking </w:t>
      </w:r>
      <w:r w:rsidR="00DD2574">
        <w:rPr>
          <w:rFonts w:eastAsia="Calibri"/>
        </w:rPr>
        <w:t xml:space="preserve">just </w:t>
      </w:r>
      <w:r>
        <w:rPr>
          <w:rFonts w:eastAsia="Calibri"/>
        </w:rPr>
        <w:t xml:space="preserve">2 pints of beer has any significant effect on attractiveness perceptions.  </w:t>
      </w:r>
      <w:r w:rsidR="00091B98">
        <w:rPr>
          <w:rFonts w:eastAsia="Calibri"/>
        </w:rPr>
        <w:t>Nonetheless</w:t>
      </w:r>
      <w:r w:rsidR="005169C9">
        <w:rPr>
          <w:rFonts w:eastAsia="Calibri"/>
        </w:rPr>
        <w:t xml:space="preserve">, the sample size of the study only gave us </w:t>
      </w:r>
      <w:r w:rsidR="002E7B46">
        <w:rPr>
          <w:rFonts w:eastAsia="Calibri"/>
        </w:rPr>
        <w:t>58</w:t>
      </w:r>
      <w:r w:rsidR="005169C9">
        <w:rPr>
          <w:rFonts w:eastAsia="Calibri"/>
        </w:rPr>
        <w:t xml:space="preserve">% power to detect even a large effect size.  We cannot therefore confidently rule out the possibility that even 2 pints of beer may have </w:t>
      </w:r>
      <w:r w:rsidR="00CD5CD4">
        <w:rPr>
          <w:rFonts w:eastAsia="Calibri"/>
        </w:rPr>
        <w:t>a substantial</w:t>
      </w:r>
      <w:r w:rsidR="005169C9">
        <w:rPr>
          <w:rFonts w:eastAsia="Calibri"/>
        </w:rPr>
        <w:t xml:space="preserve"> effect on people’s perception of attractiveness.  A larger study would be required to test </w:t>
      </w:r>
      <w:r w:rsidR="00091B98">
        <w:rPr>
          <w:rFonts w:eastAsia="Calibri"/>
        </w:rPr>
        <w:t>this</w:t>
      </w:r>
      <w:r w:rsidR="00CD5CD4">
        <w:rPr>
          <w:rFonts w:eastAsia="Calibri"/>
        </w:rPr>
        <w:t>.</w:t>
      </w:r>
    </w:p>
    <w:p w14:paraId="67D65CF9" w14:textId="77777777" w:rsidR="005169C9" w:rsidRDefault="005169C9" w:rsidP="00C36657">
      <w:pPr>
        <w:rPr>
          <w:rFonts w:eastAsia="Calibri"/>
        </w:rPr>
      </w:pPr>
    </w:p>
    <w:p w14:paraId="25B9A775" w14:textId="77777777" w:rsidR="00C36657" w:rsidRDefault="005169C9" w:rsidP="00091B98">
      <w:pPr>
        <w:rPr>
          <w:rFonts w:eastAsia="Calibri" w:cs="Calibri"/>
          <w:sz w:val="24"/>
        </w:rPr>
      </w:pPr>
      <w:r>
        <w:rPr>
          <w:rFonts w:eastAsia="Calibri"/>
        </w:rPr>
        <w:t xml:space="preserve">A further limitation of this study is that it possible that the beer goggles effect may be different in different genders.  Further analyses could be done to test this hypotheses. There may also be other factors that affect susceptibility to the beer goggles effect.  Further studies that include </w:t>
      </w:r>
      <w:r w:rsidR="00091B98">
        <w:rPr>
          <w:rFonts w:eastAsia="Calibri"/>
        </w:rPr>
        <w:t xml:space="preserve">measures of </w:t>
      </w:r>
      <w:r>
        <w:rPr>
          <w:rFonts w:eastAsia="Calibri"/>
        </w:rPr>
        <w:t>other potential predictors could address this question.</w:t>
      </w:r>
      <w:r w:rsidR="00DD2574">
        <w:rPr>
          <w:rFonts w:eastAsia="Calibri"/>
        </w:rPr>
        <w:t xml:space="preserve">   A final limitation of the study is that it is not clear how random the sample selection was, or how diverse a population it was drawn from</w:t>
      </w:r>
      <w:r w:rsidR="00091B98">
        <w:rPr>
          <w:rFonts w:eastAsia="Calibri"/>
        </w:rPr>
        <w:t>.  It is therefore</w:t>
      </w:r>
      <w:r w:rsidR="00DD2574">
        <w:rPr>
          <w:rFonts w:eastAsia="Calibri"/>
        </w:rPr>
        <w:t xml:space="preserve"> difficult to know how widely the findings can be generalised.</w:t>
      </w:r>
    </w:p>
    <w:p w14:paraId="5E59F5AA" w14:textId="77777777" w:rsidR="00090758" w:rsidRDefault="00090758"/>
    <w:p w14:paraId="3C326382" w14:textId="77777777" w:rsidR="00091B98" w:rsidRDefault="00091B98" w:rsidP="00091B98">
      <w:pPr>
        <w:pStyle w:val="Heading1"/>
      </w:pPr>
      <w:r>
        <w:t>References</w:t>
      </w:r>
    </w:p>
    <w:p w14:paraId="74204984" w14:textId="77777777" w:rsidR="00091B98" w:rsidRDefault="00091B98" w:rsidP="00091B98"/>
    <w:p w14:paraId="15B13E3F" w14:textId="77777777" w:rsidR="00091B98" w:rsidRPr="00091B98" w:rsidRDefault="00091B98" w:rsidP="00091B98">
      <w:r>
        <w:t xml:space="preserve">Field, A. (2009). </w:t>
      </w:r>
      <w:r>
        <w:rPr>
          <w:i/>
          <w:iCs/>
        </w:rPr>
        <w:t>Discovering statistics using SPSS</w:t>
      </w:r>
      <w:r>
        <w:t>. Sage publications.</w:t>
      </w:r>
    </w:p>
    <w:sectPr w:rsidR="00091B98" w:rsidRPr="00091B9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et Hassard (staff)" w:date="2022-03-07T11:57:00Z" w:initials="JH(">
    <w:p w14:paraId="0FFDEE4C" w14:textId="77777777" w:rsidR="00C05732" w:rsidRDefault="00C05732" w:rsidP="00722373">
      <w:r>
        <w:rPr>
          <w:rStyle w:val="CommentReference"/>
        </w:rPr>
        <w:annotationRef/>
      </w:r>
      <w:r>
        <w:rPr>
          <w:sz w:val="20"/>
        </w:rPr>
        <w:t xml:space="preserve">Please note. The wordcount for this assignment has been increased since this example lab report was developed from 1500 to 2000. Hopefully, this is good news as there is more room to discuss what you did, how and why!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DE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719A" w16cex:dateUtc="2022-03-0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DEE4C" w16cid:durableId="25D071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 Hassard (staff)">
    <w15:presenceInfo w15:providerId="AD" w15:userId="S::juliet.hassard@nottingham.ac.uk::f8d8a1ab-c45f-4e5b-abe0-3ed55b0fc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57"/>
    <w:rsid w:val="00090758"/>
    <w:rsid w:val="00091B98"/>
    <w:rsid w:val="002A1553"/>
    <w:rsid w:val="002E2479"/>
    <w:rsid w:val="002E7B46"/>
    <w:rsid w:val="003C0A63"/>
    <w:rsid w:val="00413976"/>
    <w:rsid w:val="005169C9"/>
    <w:rsid w:val="005C1090"/>
    <w:rsid w:val="005C28F5"/>
    <w:rsid w:val="005F498E"/>
    <w:rsid w:val="006457EB"/>
    <w:rsid w:val="00734176"/>
    <w:rsid w:val="007C73C7"/>
    <w:rsid w:val="007E434D"/>
    <w:rsid w:val="0085337C"/>
    <w:rsid w:val="008E7E05"/>
    <w:rsid w:val="009A2431"/>
    <w:rsid w:val="00A918C7"/>
    <w:rsid w:val="00A9581C"/>
    <w:rsid w:val="00AB53CF"/>
    <w:rsid w:val="00B32EA2"/>
    <w:rsid w:val="00C05732"/>
    <w:rsid w:val="00C36657"/>
    <w:rsid w:val="00CD5CD4"/>
    <w:rsid w:val="00DD2574"/>
    <w:rsid w:val="00E9197A"/>
    <w:rsid w:val="00EC234E"/>
    <w:rsid w:val="00EF6E27"/>
    <w:rsid w:val="00F007C7"/>
    <w:rsid w:val="00F34C62"/>
    <w:rsid w:val="00F43A4C"/>
    <w:rsid w:val="00F7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B27E"/>
  <w15:chartTrackingRefBased/>
  <w15:docId w15:val="{867A6CE4-718F-4504-AEEC-A52F8D3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57"/>
    <w:pPr>
      <w:widowControl w:val="0"/>
      <w:suppressAutoHyphens/>
      <w:spacing w:after="0" w:line="240" w:lineRule="auto"/>
    </w:pPr>
    <w:rPr>
      <w:rFonts w:ascii="Calibri" w:eastAsia="Times New Roman" w:hAnsi="Calibri" w:cs="Times New Roman"/>
      <w:szCs w:val="20"/>
      <w:lang w:eastAsia="en-GB"/>
    </w:rPr>
  </w:style>
  <w:style w:type="paragraph" w:styleId="Heading1">
    <w:name w:val="heading 1"/>
    <w:basedOn w:val="Normal"/>
    <w:next w:val="Normal"/>
    <w:link w:val="Heading1Char"/>
    <w:uiPriority w:val="9"/>
    <w:qFormat/>
    <w:rsid w:val="00C36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66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665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6657"/>
    <w:rPr>
      <w:rFonts w:asciiTheme="majorHAnsi" w:eastAsiaTheme="majorEastAsia" w:hAnsiTheme="majorHAnsi" w:cstheme="majorBidi"/>
      <w:b/>
      <w:bCs/>
      <w:color w:val="5B9BD5" w:themeColor="accent1"/>
      <w:szCs w:val="20"/>
      <w:lang w:eastAsia="en-GB"/>
    </w:rPr>
  </w:style>
  <w:style w:type="character" w:customStyle="1" w:styleId="Heading2Char">
    <w:name w:val="Heading 2 Char"/>
    <w:basedOn w:val="DefaultParagraphFont"/>
    <w:link w:val="Heading2"/>
    <w:uiPriority w:val="9"/>
    <w:rsid w:val="00C36657"/>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C36657"/>
    <w:rPr>
      <w:rFonts w:asciiTheme="majorHAnsi" w:eastAsiaTheme="majorEastAsia" w:hAnsiTheme="majorHAnsi" w:cstheme="majorBidi"/>
      <w:color w:val="2E74B5" w:themeColor="accent1" w:themeShade="BF"/>
      <w:sz w:val="32"/>
      <w:szCs w:val="32"/>
      <w:lang w:eastAsia="en-GB"/>
    </w:rPr>
  </w:style>
  <w:style w:type="character" w:styleId="PlaceholderText">
    <w:name w:val="Placeholder Text"/>
    <w:basedOn w:val="DefaultParagraphFont"/>
    <w:uiPriority w:val="99"/>
    <w:semiHidden/>
    <w:rsid w:val="002A1553"/>
    <w:rPr>
      <w:color w:val="808080"/>
    </w:rPr>
  </w:style>
  <w:style w:type="paragraph" w:styleId="Caption">
    <w:name w:val="caption"/>
    <w:basedOn w:val="Normal"/>
    <w:next w:val="Normal"/>
    <w:uiPriority w:val="35"/>
    <w:unhideWhenUsed/>
    <w:qFormat/>
    <w:rsid w:val="00F71EFD"/>
    <w:pPr>
      <w:spacing w:after="200"/>
    </w:pPr>
    <w:rPr>
      <w:i/>
      <w:iCs/>
      <w:color w:val="44546A" w:themeColor="text2"/>
      <w:sz w:val="18"/>
      <w:szCs w:val="18"/>
    </w:rPr>
  </w:style>
  <w:style w:type="paragraph" w:styleId="Title">
    <w:name w:val="Title"/>
    <w:basedOn w:val="Normal"/>
    <w:next w:val="Normal"/>
    <w:link w:val="TitleChar"/>
    <w:uiPriority w:val="10"/>
    <w:qFormat/>
    <w:rsid w:val="00091B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98"/>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semiHidden/>
    <w:unhideWhenUsed/>
    <w:rsid w:val="00091B98"/>
    <w:rPr>
      <w:sz w:val="16"/>
      <w:szCs w:val="16"/>
    </w:rPr>
  </w:style>
  <w:style w:type="paragraph" w:styleId="CommentText">
    <w:name w:val="annotation text"/>
    <w:basedOn w:val="Normal"/>
    <w:link w:val="CommentTextChar"/>
    <w:uiPriority w:val="99"/>
    <w:semiHidden/>
    <w:unhideWhenUsed/>
    <w:rsid w:val="00091B98"/>
    <w:rPr>
      <w:sz w:val="20"/>
    </w:rPr>
  </w:style>
  <w:style w:type="character" w:customStyle="1" w:styleId="CommentTextChar">
    <w:name w:val="Comment Text Char"/>
    <w:basedOn w:val="DefaultParagraphFont"/>
    <w:link w:val="CommentText"/>
    <w:uiPriority w:val="99"/>
    <w:semiHidden/>
    <w:rsid w:val="00091B98"/>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1B98"/>
    <w:rPr>
      <w:b/>
      <w:bCs/>
    </w:rPr>
  </w:style>
  <w:style w:type="character" w:customStyle="1" w:styleId="CommentSubjectChar">
    <w:name w:val="Comment Subject Char"/>
    <w:basedOn w:val="CommentTextChar"/>
    <w:link w:val="CommentSubject"/>
    <w:uiPriority w:val="99"/>
    <w:semiHidden/>
    <w:rsid w:val="00091B98"/>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09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B9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9411">
      <w:bodyDiv w:val="1"/>
      <w:marLeft w:val="0"/>
      <w:marRight w:val="0"/>
      <w:marTop w:val="0"/>
      <w:marBottom w:val="0"/>
      <w:divBdr>
        <w:top w:val="none" w:sz="0" w:space="0" w:color="auto"/>
        <w:left w:val="none" w:sz="0" w:space="0" w:color="auto"/>
        <w:bottom w:val="none" w:sz="0" w:space="0" w:color="auto"/>
        <w:right w:val="none" w:sz="0" w:space="0" w:color="auto"/>
      </w:divBdr>
    </w:div>
    <w:div w:id="932206278">
      <w:bodyDiv w:val="1"/>
      <w:marLeft w:val="0"/>
      <w:marRight w:val="0"/>
      <w:marTop w:val="0"/>
      <w:marBottom w:val="0"/>
      <w:divBdr>
        <w:top w:val="none" w:sz="0" w:space="0" w:color="auto"/>
        <w:left w:val="none" w:sz="0" w:space="0" w:color="auto"/>
        <w:bottom w:val="none" w:sz="0" w:space="0" w:color="auto"/>
        <w:right w:val="none" w:sz="0" w:space="0" w:color="auto"/>
      </w:divBdr>
    </w:div>
    <w:div w:id="10088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Sheet1!$H$33</c:f>
              <c:strCache>
                <c:ptCount val="1"/>
                <c:pt idx="0">
                  <c:v>Mean</c:v>
                </c:pt>
              </c:strCache>
            </c:strRef>
          </c:tx>
          <c:spPr>
            <a:solidFill>
              <a:schemeClr val="accent1"/>
            </a:solidFill>
            <a:ln>
              <a:noFill/>
            </a:ln>
            <a:effectLst/>
          </c:spPr>
          <c:invertIfNegative val="0"/>
          <c:errBars>
            <c:errBarType val="both"/>
            <c:errValType val="cust"/>
            <c:noEndCap val="0"/>
            <c:plus>
              <c:numRef>
                <c:f>Sheet1!$K$34:$K$36</c:f>
                <c:numCache>
                  <c:formatCode>General</c:formatCode>
                  <c:ptCount val="3"/>
                  <c:pt idx="0">
                    <c:v>4.1472837912867533</c:v>
                  </c:pt>
                  <c:pt idx="1">
                    <c:v>4.8567907536902535</c:v>
                  </c:pt>
                  <c:pt idx="2">
                    <c:v>7.0284308485606317</c:v>
                  </c:pt>
                </c:numCache>
              </c:numRef>
            </c:plus>
            <c:minus>
              <c:numRef>
                <c:f>Sheet1!$K$34:$K$36</c:f>
                <c:numCache>
                  <c:formatCode>General</c:formatCode>
                  <c:ptCount val="3"/>
                  <c:pt idx="0">
                    <c:v>4.1472837912867533</c:v>
                  </c:pt>
                  <c:pt idx="1">
                    <c:v>4.8567907536902535</c:v>
                  </c:pt>
                  <c:pt idx="2">
                    <c:v>7.0284308485606317</c:v>
                  </c:pt>
                </c:numCache>
              </c:numRef>
            </c:minus>
            <c:spPr>
              <a:noFill/>
              <a:ln w="9525" cap="flat" cmpd="sng" algn="ctr">
                <a:solidFill>
                  <a:schemeClr val="tx1">
                    <a:lumMod val="65000"/>
                    <a:lumOff val="35000"/>
                  </a:schemeClr>
                </a:solidFill>
                <a:round/>
              </a:ln>
              <a:effectLst/>
            </c:spPr>
          </c:errBars>
          <c:cat>
            <c:strRef>
              <c:f>Sheet1!$G$34:$G$36</c:f>
              <c:strCache>
                <c:ptCount val="3"/>
                <c:pt idx="0">
                  <c:v>None</c:v>
                </c:pt>
                <c:pt idx="1">
                  <c:v>2 Pints</c:v>
                </c:pt>
                <c:pt idx="2">
                  <c:v>4 Pints</c:v>
                </c:pt>
              </c:strCache>
            </c:strRef>
          </c:cat>
          <c:val>
            <c:numRef>
              <c:f>Sheet1!$H$34:$H$36</c:f>
              <c:numCache>
                <c:formatCode>General</c:formatCode>
                <c:ptCount val="3"/>
                <c:pt idx="0">
                  <c:v>63.75</c:v>
                </c:pt>
                <c:pt idx="1">
                  <c:v>64.69</c:v>
                </c:pt>
                <c:pt idx="2">
                  <c:v>46.56</c:v>
                </c:pt>
              </c:numCache>
            </c:numRef>
          </c:val>
          <c:extLst>
            <c:ext xmlns:c16="http://schemas.microsoft.com/office/drawing/2014/chart" uri="{C3380CC4-5D6E-409C-BE32-E72D297353CC}">
              <c16:uniqueId val="{00000000-6193-4BF2-B1AD-9BB7B615CCEF}"/>
            </c:ext>
          </c:extLst>
        </c:ser>
        <c:dLbls>
          <c:showLegendKey val="0"/>
          <c:showVal val="0"/>
          <c:showCatName val="0"/>
          <c:showSerName val="0"/>
          <c:showPercent val="0"/>
          <c:showBubbleSize val="0"/>
        </c:dLbls>
        <c:gapWidth val="219"/>
        <c:overlap val="-27"/>
        <c:axId val="804565600"/>
        <c:axId val="804566384"/>
      </c:barChart>
      <c:catAx>
        <c:axId val="8045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566384"/>
        <c:crosses val="autoZero"/>
        <c:auto val="1"/>
        <c:lblAlgn val="ctr"/>
        <c:lblOffset val="100"/>
        <c:noMultiLvlLbl val="0"/>
      </c:catAx>
      <c:valAx>
        <c:axId val="80456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Attractiveness of partner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56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9EF5-BC25-440F-8C9D-E61B93F7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Liddle</dc:creator>
  <cp:keywords/>
  <dc:description/>
  <cp:lastModifiedBy>Juliet Hassard (staff)</cp:lastModifiedBy>
  <cp:revision>3</cp:revision>
  <dcterms:created xsi:type="dcterms:W3CDTF">2018-03-21T11:08:00Z</dcterms:created>
  <dcterms:modified xsi:type="dcterms:W3CDTF">2022-03-07T11:57:00Z</dcterms:modified>
</cp:coreProperties>
</file>